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5" w:rsidRDefault="002C41ED">
      <w:pPr>
        <w:pageBreakBefore/>
        <w:rPr>
          <w:color w:val="FFFFFF"/>
        </w:rPr>
        <w:sectPr w:rsidR="00EE4395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095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624;top:1248;width:10939;height:0;mso-position-horizontal-relative:page;mso-position-vertical-relative:page" o:connectortype="straight" strokeweight="2.4pt"/>
            <v:shape id="_x0000_s1093" type="#_x0000_t32" style="position:absolute;left:624;top:2112;width:10939;height:0;mso-position-horizontal-relative:page;mso-position-vertical-relative:page" o:connectortype="straight" strokeweight="1.92pt"/>
            <v:shape id="_x0000_s1092" type="#_x0000_t32" style="position:absolute;left:624;top:2208;width:10939;height:0;mso-position-horizontal-relative:page;mso-position-vertical-relative:page" o:connectortype="straight" strokeweight="1.92pt"/>
            <v:shape id="_x0000_s1091" type="#_x0000_t32" style="position:absolute;left:624;top:2688;width:10939;height:0;mso-position-horizontal-relative:page;mso-position-vertical-relative:page" o:connectortype="straight" strokeweight=".96pt"/>
            <v:shape id="_x0000_s1090" type="#_x0000_t32" style="position:absolute;left:624;top:3840;width:10939;height:0;mso-position-horizontal-relative:page;mso-position-vertical-relative:page" o:connectortype="straight" strokeweight="1.92pt"/>
            <v:shape id="_x0000_s1089" type="#_x0000_t32" style="position:absolute;left:624;top:4152;width:10939;height:0;mso-position-horizontal-relative:page;mso-position-vertical-relative:page" o:connectortype="straight" strokeweight="1.92pt"/>
            <v:shape id="_x0000_s1088" type="#_x0000_t32" style="position:absolute;left:624;top:4632;width:10939;height:0;mso-position-horizontal-relative:page;mso-position-vertical-relative:page" o:connectortype="straight" strokeweight=".96pt"/>
            <v:shape id="_x0000_s1087" type="#_x0000_t32" style="position:absolute;left:624;top:5112;width:10939;height:0;mso-position-horizontal-relative:page;mso-position-vertical-relative:page" o:connectortype="straight" strokeweight=".96pt"/>
            <v:shape id="_x0000_s1086" type="#_x0000_t32" style="position:absolute;left:624;top:5640;width:10939;height:0;mso-position-horizontal-relative:page;mso-position-vertical-relative:page" o:connectortype="straight" strokeweight=".96pt"/>
            <v:shape id="_x0000_s1085" type="#_x0000_t32" style="position:absolute;left:624;top:6168;width:10939;height:0;mso-position-horizontal-relative:page;mso-position-vertical-relative:page" o:connectortype="straight" strokeweight=".96pt"/>
            <v:shape id="_x0000_s1084" type="#_x0000_t32" style="position:absolute;left:624;top:6648;width:10939;height:0;mso-position-horizontal-relative:page;mso-position-vertical-relative:page" o:connectortype="straight" strokeweight=".96pt"/>
            <v:shape id="_x0000_s1083" type="#_x0000_t32" style="position:absolute;left:624;top:7704;width:10939;height:0;mso-position-horizontal-relative:page;mso-position-vertical-relative:page" o:connectortype="straight" strokeweight=".96pt"/>
            <v:shape id="_x0000_s1082" type="#_x0000_t32" style="position:absolute;left:624;top:8016;width:10939;height:0;mso-position-horizontal-relative:page;mso-position-vertical-relative:page" o:connectortype="straight" strokeweight=".96pt"/>
            <v:shape id="_x0000_s1081" type="#_x0000_t32" style="position:absolute;left:624;top:9312;width:10939;height:0;mso-position-horizontal-relative:page;mso-position-vertical-relative:page" o:connectortype="straight" strokeweight="1.92pt"/>
            <v:shape id="_x0000_s1080" type="#_x0000_t32" style="position:absolute;left:624;top:9624;width:10939;height:0;mso-position-horizontal-relative:page;mso-position-vertical-relative:page" o:connectortype="straight" strokeweight="1.92pt"/>
            <v:shape id="_x0000_s1079" type="#_x0000_t32" style="position:absolute;left:624;top:10104;width:10939;height:0;mso-position-horizontal-relative:page;mso-position-vertical-relative:page" o:connectortype="straight" strokeweight=".96pt"/>
            <v:shape id="_x0000_s1078" type="#_x0000_t32" style="position:absolute;left:624;top:10584;width:10939;height:0;mso-position-horizontal-relative:page;mso-position-vertical-relative:page" o:connectortype="straight" strokeweight="1.92pt"/>
            <v:shape id="_x0000_s1077" type="#_x0000_t32" style="position:absolute;left:624;top:11064;width:10939;height:0;mso-position-horizontal-relative:page;mso-position-vertical-relative:page" o:connectortype="straight" strokeweight=".96pt"/>
            <v:shape id="_x0000_s1076" type="#_x0000_t32" style="position:absolute;left:624;top:11544;width:10939;height:0;mso-position-horizontal-relative:page;mso-position-vertical-relative:page" o:connectortype="straight" strokeweight="2.4pt"/>
            <v:shape id="_x0000_s1075" type="#_x0000_t32" style="position:absolute;left:624;top:1248;width:0;height:10296;mso-position-horizontal-relative:page;mso-position-vertical-relative:page" o:connectortype="straight" strokeweight="2.16pt"/>
            <v:shape id="_x0000_s1074" type="#_x0000_t32" style="position:absolute;left:3840;top:2208;width:0;height:1632;mso-position-horizontal-relative:page;mso-position-vertical-relative:page" o:connectortype="straight" strokeweight=".72pt"/>
            <v:shape id="_x0000_s1073" type="#_x0000_t32" style="position:absolute;left:3840;top:4152;width:0;height:5160;mso-position-horizontal-relative:page;mso-position-vertical-relative:page" o:connectortype="straight" strokeweight=".72pt"/>
            <v:shape id="_x0000_s1072" type="#_x0000_t32" style="position:absolute;left:3840;top:9624;width:0;height:1920;mso-position-horizontal-relative:page;mso-position-vertical-relative:page" o:connectortype="straight" strokeweight=".72pt"/>
            <v:shape id="_x0000_s1071" type="#_x0000_t32" style="position:absolute;left:11544;top:1248;width:0;height:10296;mso-position-horizontal-relative:page;mso-position-vertical-relative:page" o:connectortype="straight" strokeweight="2.16pt"/>
            <v:shape id="_x0000_s1070" type="#_x0000_m1095" style="position:absolute;left:5088;top:1352;width:7152;height:3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9" type="#_x0000_m1095" style="position:absolute;left:4560;top:1684;width:7680;height:4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Special Notice</w:t>
                    </w:r>
                  </w:p>
                </w:txbxContent>
              </v:textbox>
            </v:shape>
            <v:shape id="_x0000_s1068" type="#_x0000_m1095" style="position:absolute;left:1584;top:3080;width:10656;height:3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095" style="position:absolute;left:3120;top:4208;width:9120;height:3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m1095" style="position:absolute;left:3072;top:6200;width:9168;height:3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m1095" style="position:absolute;left:2424;top:7712;width:9816;height:3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m1095" style="position:absolute;left:672;top:2340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3" type="#_x0000_m1095" style="position:absolute;left:2928;top:2240;width:9312;height:3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m1095" style="position:absolute;left:672;top:3108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1" type="#_x0000_m1095" style="position:absolute;left:672;top:4236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0" type="#_x0000_m1095" style="position:absolute;left:672;top:4428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59" type="#_x0000_m1095" style="position:absolute;left:672;top:4764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58" type="#_x0000_m1095" style="position:absolute;left:672;top:5244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57" type="#_x0000_m1095" style="position:absolute;left:4608;top:5244;width:7632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56" type="#_x0000_m1095" style="position:absolute;left:672;top:5724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55" type="#_x0000_m1095" style="position:absolute;left:672;top:6300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54" type="#_x0000_m1095" style="position:absolute;left:672;top:6828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53" type="#_x0000_m1095" style="position:absolute;left:672;top:7020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2" type="#_x0000_m1095" style="position:absolute;left:672;top:8316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51" type="#_x0000_m1095" style="position:absolute;left:672;top:8788;width:11568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0" type="#_x0000_m1095" style="position:absolute;left:672;top:8980;width:11568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49" type="#_x0000_m1095" style="position:absolute;left:672;top:7764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48" type="#_x0000_m1095" style="position:absolute;left:3888;top:7764;width:8352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47" type="#_x0000_m1095" style="position:absolute;left:672;top:9756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46" type="#_x0000_m1095" style="position:absolute;left:672;top:10236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45" type="#_x0000_m1095" style="position:absolute;left:672;top:10620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44" type="#_x0000_m1095" style="position:absolute;left:672;top:10812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3" type="#_x0000_m1095" style="position:absolute;left:672;top:11196;width:11568;height:21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2" type="#_x0000_m1095" style="position:absolute;left:4128;top:3860;width:8112;height:25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1" type="#_x0000_m1095" style="position:absolute;left:4224;top:9332;width:8016;height:25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0" type="#_x0000_m1095" style="position:absolute;left:624;top:11588;width:11616;height:25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39" type="#_x0000_m1095" style="position:absolute;left:9408;top:11668;width:283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Special Notice</w:t>
                    </w:r>
                  </w:p>
                </w:txbxContent>
              </v:textbox>
            </v:shape>
            <v:shape id="_x0000_s1038" type="#_x0000_m1095" style="position:absolute;left:9408;top:11860;width:283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37" type="#_x0000_m1095" style="position:absolute;left:3888;top:2356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</w:t>
                    </w:r>
                  </w:p>
                </w:txbxContent>
              </v:textbox>
            </v:shape>
            <v:shape id="_x0000_s1036" type="#_x0000_m1095" style="position:absolute;left:3888;top:2788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756-15-1-6041-0001 Solid Waste Disposal Follow-on ELP</w:t>
                    </w:r>
                  </w:p>
                </w:txbxContent>
              </v:textbox>
            </v:shape>
            <v:shape id="_x0000_s1035" type="#_x0000_m1095" style="position:absolute;left:3888;top:4276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79106</w:t>
                    </w:r>
                  </w:p>
                </w:txbxContent>
              </v:textbox>
            </v:shape>
            <v:shape id="_x0000_s1034" type="#_x0000_m1095" style="position:absolute;left:3888;top:4756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VA258-14-Q-0244</w:t>
                    </w:r>
                  </w:p>
                </w:txbxContent>
              </v:textbox>
            </v:shape>
            <v:shape id="_x0000_s1033" type="#_x0000_m1095" style="position:absolute;left:3888;top:5236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2" type="#_x0000_m1095" style="position:absolute;left:3888;top:5716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1" type="#_x0000_m1095" style="position:absolute;left:3888;top:6292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562111</w:t>
                    </w:r>
                  </w:p>
                </w:txbxContent>
              </v:textbox>
            </v:shape>
            <v:shape id="_x0000_s1030" type="#_x0000_m1095" style="position:absolute;left:3888;top:6892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29" type="#_x0000_m1095" style="position:absolute;left:3888;top:7084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Section</w:t>
                    </w:r>
                  </w:p>
                </w:txbxContent>
              </v:textbox>
            </v:shape>
            <v:shape id="_x0000_s1028" type="#_x0000_m1095" style="position:absolute;left:3888;top:7276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6010 Amarillo Blvd W</w:t>
                    </w:r>
                  </w:p>
                </w:txbxContent>
              </v:textbox>
            </v:shape>
            <v:shape id="_x0000_s1027" type="#_x0000_m1095" style="position:absolute;left:3888;top:7468;width:8352;height:172;mso-position-horizontal-relative:page;mso-position-vertical-relative:page" filled="f" stroked="f">
              <v:textbox inset="0,0,0,0">
                <w:txbxContent>
                  <w:p w:rsidR="00EE4395" w:rsidRDefault="002C41E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Amarillo TX  79106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91DDA" w:rsidRDefault="002C41ED" w:rsidP="00E91DDA">
      <w:pPr>
        <w:pageBreakBefore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Contractor Posed Questions and Government Answers (Bold) Concerning the Solid Waste Disposal Follow-On at El Paso VA Facility, Solicitation VA258-14-Q-024</w:t>
      </w:r>
      <w:r>
        <w:rPr>
          <w:rFonts w:ascii="Times New Roman" w:hAnsi="Times New Roman" w:cs="Times New Roman"/>
          <w:color w:val="000000" w:themeColor="text1"/>
        </w:rPr>
        <w:t>4</w:t>
      </w: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Can we please identify the current contractor servicing this contract?  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Hamilton Alliance, Inc.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Can we please identify the current contract value? 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$67,873.08.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Can we please identify the current contract term corresponding to that value? 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 xml:space="preserve">Base + 4 </w:t>
      </w:r>
      <w:r>
        <w:rPr>
          <w:rFonts w:ascii="Times New Roman" w:hAnsi="Times New Roman"/>
          <w:b/>
          <w:bCs/>
          <w:color w:val="000000" w:themeColor="text1"/>
        </w:rPr>
        <w:t>Option Years.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Is the Delivery Schedule an example, or are we to complete B.4 Delivery Schedule and submit with our packet?</w:t>
      </w:r>
      <w:r>
        <w:rPr>
          <w:rFonts w:ascii="Times New Roman" w:hAnsi="Times New Roman"/>
          <w:b/>
          <w:bCs/>
          <w:color w:val="000000" w:themeColor="text1"/>
        </w:rPr>
        <w:t xml:space="preserve">   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No need to accomplish B.4.- as this is just what the Veteran’s Administrations eCMS</w:t>
      </w:r>
      <w:r>
        <w:rPr>
          <w:rFonts w:ascii="Times New Roman" w:hAnsi="Times New Roman"/>
          <w:b/>
          <w:bCs/>
          <w:color w:val="000000" w:themeColor="text1"/>
        </w:rPr>
        <w:t xml:space="preserve"> contract system does.  Please complete Schedule B.3.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E.3 states that evaluation factors include Lowest Price Technically Acceptable. There are no technical requirements provided. Being that this is an RFQ is a technical required? If yes, are there any te</w:t>
      </w:r>
      <w:r>
        <w:rPr>
          <w:rFonts w:ascii="Times New Roman" w:hAnsi="Times New Roman"/>
          <w:color w:val="000000" w:themeColor="text1"/>
        </w:rPr>
        <w:t>chnical requirements?  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It is LPTA.  No, please complete IAW solicitation and as per question #7 info below.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E3 states that “Technical and past performance, when combined, are Equal.”  Are there any Past Performance requirements?  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Please submit performan</w:t>
      </w:r>
      <w:r>
        <w:rPr>
          <w:rFonts w:ascii="Times New Roman" w:hAnsi="Times New Roman"/>
          <w:b/>
          <w:bCs/>
          <w:color w:val="000000" w:themeColor="text1"/>
        </w:rPr>
        <w:t>ce if you deem relevant – not mandatory.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When submitting our packet are there any items to include in addition to:   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No.</w:t>
      </w:r>
    </w:p>
    <w:p w:rsidR="00E91DDA" w:rsidRDefault="002C41ED" w:rsidP="00E91DD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Standard Form, </w:t>
      </w:r>
    </w:p>
    <w:p w:rsidR="00E91DDA" w:rsidRDefault="002C41ED" w:rsidP="00E91DD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B.1  CONTRACT ADMINISTRATION DATA, </w:t>
      </w:r>
    </w:p>
    <w:p w:rsidR="00E91DDA" w:rsidRDefault="002C41ED" w:rsidP="00E91DD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B.3 Price/Cost Schedule, </w:t>
      </w:r>
    </w:p>
    <w:p w:rsidR="00E91DDA" w:rsidRDefault="002C41ED" w:rsidP="00E91DD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E.1  52.209-5 REPRESENTATION BY CORPORATIONS, and</w:t>
      </w:r>
    </w:p>
    <w:p w:rsidR="00E91DDA" w:rsidRDefault="002C41ED" w:rsidP="00E91DD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E.4  </w:t>
      </w:r>
      <w:r>
        <w:rPr>
          <w:rFonts w:ascii="Times New Roman" w:hAnsi="Times New Roman"/>
          <w:color w:val="000000" w:themeColor="text1"/>
        </w:rPr>
        <w:t>52.212-3  OFFEROR REPRESENTATIONS AND CERTIFICATIONS—COMMERCIAL ITEMS (NOV 2013)</w:t>
      </w:r>
    </w:p>
    <w:p w:rsidR="00E91DDA" w:rsidRDefault="002C41ED" w:rsidP="00E91DDA">
      <w:pPr>
        <w:pStyle w:val="ListParagraph"/>
        <w:spacing w:after="120"/>
        <w:ind w:left="1440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Is there an incumbent contractor?  If yes, please provide the name and duration of the current project.  </w:t>
      </w:r>
    </w:p>
    <w:p w:rsidR="00E91DDA" w:rsidRDefault="002C41ED" w:rsidP="00E91DDA">
      <w:pPr>
        <w:pStyle w:val="ListParagraph"/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Hamilton Alliance Inc., Base + 4 (Oct 1, 2010 – Sep 30, 2015 with an</w:t>
      </w:r>
      <w:r>
        <w:rPr>
          <w:rFonts w:ascii="Times New Roman" w:hAnsi="Times New Roman"/>
          <w:b/>
          <w:bCs/>
          <w:color w:val="000000" w:themeColor="text1"/>
        </w:rPr>
        <w:t xml:space="preserve"> overall price of $67,873.08).</w:t>
      </w:r>
    </w:p>
    <w:p w:rsidR="00E91DDA" w:rsidRDefault="002C41ED" w:rsidP="00E91DDA">
      <w:pPr>
        <w:pStyle w:val="ListParagraph"/>
        <w:spacing w:after="120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B.3 Price/Cost Schedule does not include separate line items for waste tonnage disposal fee.  Will additional line items be added to facilitate this cost?  </w:t>
      </w:r>
    </w:p>
    <w:p w:rsidR="00E91DDA" w:rsidRDefault="002C41ED" w:rsidP="00E91DDA">
      <w:pPr>
        <w:pStyle w:val="ListParagraph"/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Please look at “Fee” L/Is 3 &amp; 5 + associated L/Is under Options.  N</w:t>
      </w:r>
      <w:r>
        <w:rPr>
          <w:rFonts w:ascii="Times New Roman" w:hAnsi="Times New Roman"/>
          <w:b/>
          <w:bCs/>
          <w:color w:val="000000" w:themeColor="text1"/>
        </w:rPr>
        <w:t>o additional L/Is to be added.  Please fill out B.3 as-is</w:t>
      </w:r>
      <w:r>
        <w:rPr>
          <w:rFonts w:ascii="Times New Roman" w:hAnsi="Times New Roman"/>
          <w:b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E91DDA" w:rsidRDefault="002C41ED" w:rsidP="00E91DDA">
      <w:pPr>
        <w:pStyle w:val="ListParagraph"/>
        <w:rPr>
          <w:rFonts w:ascii="Times New Roman" w:hAnsi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Can you provide historical monthly waste tonnage for the units requiring service?  </w:t>
      </w:r>
    </w:p>
    <w:p w:rsidR="00E91DDA" w:rsidRDefault="002C41ED" w:rsidP="00E91DDA">
      <w:pPr>
        <w:pStyle w:val="ListParagraph"/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FY13 where the El Paso VA Medical Center had 7 pulls of the Roll-off at an average of about 1 ton per pull and </w:t>
      </w:r>
      <w:r>
        <w:rPr>
          <w:rFonts w:ascii="Times New Roman" w:hAnsi="Times New Roman"/>
          <w:b/>
          <w:color w:val="000000" w:themeColor="text1"/>
        </w:rPr>
        <w:t>15 pulls of the Compactor and an average of approximately 7 tons per pull.</w:t>
      </w:r>
    </w:p>
    <w:tbl>
      <w:tblPr>
        <w:tblW w:w="5454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540"/>
        <w:gridCol w:w="1540"/>
        <w:gridCol w:w="1540"/>
      </w:tblGrid>
      <w:tr w:rsidR="00E91DDA" w:rsidTr="00E91DDA">
        <w:trPr>
          <w:trHeight w:val="30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Average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 Pull</w:t>
            </w:r>
          </w:p>
        </w:tc>
      </w:tr>
      <w:tr w:rsidR="00E91DDA" w:rsidTr="00E91DDA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Roll-off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13,620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1,945.71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 pulls</w:t>
            </w:r>
          </w:p>
        </w:tc>
      </w:tr>
      <w:tr w:rsidR="00E91DDA" w:rsidTr="00E91DDA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Compactor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203,540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13,569.33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DDA" w:rsidRDefault="002C4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 pulls</w:t>
            </w:r>
          </w:p>
        </w:tc>
      </w:tr>
    </w:tbl>
    <w:p w:rsidR="00E91DDA" w:rsidRDefault="002C41ED" w:rsidP="00E91DDA">
      <w:pPr>
        <w:spacing w:after="120"/>
        <w:contextualSpacing/>
        <w:rPr>
          <w:rFonts w:ascii="Times New Roman" w:hAnsi="Times New Roman" w:cs="Times New Roman"/>
          <w:color w:val="000000" w:themeColor="text1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How many MONTHLY pulls will be requested by the EPVAHCS?  There is no monthly total </w:t>
      </w:r>
      <w:r>
        <w:rPr>
          <w:rFonts w:ascii="Times New Roman" w:eastAsia="Times New Roman" w:hAnsi="Times New Roman"/>
          <w:shd w:val="clear" w:color="auto" w:fill="FFFFFF"/>
        </w:rPr>
        <w:t>listed for pricing purposes for CLIN X002, X003, X004, X005.  There should be an anticipated pickup total provided as part of the </w:t>
      </w:r>
      <w:r>
        <w:rPr>
          <w:rFonts w:ascii="Times New Roman" w:eastAsia="Times New Roman" w:hAnsi="Times New Roman"/>
        </w:rPr>
        <w:t>solicitation.</w:t>
      </w:r>
    </w:p>
    <w:p w:rsidR="00E91DDA" w:rsidRDefault="002C41ED" w:rsidP="00E91DDA">
      <w:pPr>
        <w:pStyle w:val="ListParagraph"/>
        <w:rPr>
          <w:rFonts w:ascii="Times New Roman" w:eastAsia="Times New Roman" w:hAnsi="Times New Roman"/>
          <w:b/>
          <w:shd w:val="clear" w:color="auto" w:fill="FFFFFF"/>
        </w:rPr>
      </w:pPr>
      <w:r>
        <w:rPr>
          <w:rFonts w:ascii="Times New Roman" w:eastAsia="Times New Roman" w:hAnsi="Times New Roman"/>
          <w:b/>
          <w:shd w:val="clear" w:color="auto" w:fill="FFFFFF"/>
        </w:rPr>
        <w:t xml:space="preserve">Please see question #10 above for answer. </w:t>
      </w:r>
    </w:p>
    <w:p w:rsidR="00E91DDA" w:rsidRDefault="002C41ED" w:rsidP="00E91DDA">
      <w:pPr>
        <w:pStyle w:val="ListParagraph"/>
        <w:rPr>
          <w:rFonts w:ascii="Times New Roman" w:eastAsia="Times New Roman" w:hAnsi="Times New Roman"/>
          <w:shd w:val="clear" w:color="auto" w:fill="FFFFFF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There is a Line Item for LEASE, PICKUP, DISPOSAL of the COMPACTOR.  </w:t>
      </w:r>
      <w:r>
        <w:rPr>
          <w:rFonts w:ascii="Times New Roman" w:eastAsia="Times New Roman" w:hAnsi="Times New Roman"/>
          <w:shd w:val="clear" w:color="auto" w:fill="FFFFFF"/>
        </w:rPr>
        <w:t>However, for the ROLLOFF Container there are only lines for PICKUP &amp; DISPOSAL.  I did not see a LINE ITEM for LEASE.  Will a LINE ITEM for LEASING of the Roll off be added?</w:t>
      </w:r>
    </w:p>
    <w:p w:rsidR="00E91DDA" w:rsidRDefault="002C41ED" w:rsidP="00E91DDA">
      <w:pPr>
        <w:pStyle w:val="ListParagraph"/>
        <w:rPr>
          <w:rFonts w:ascii="Times New Roman" w:eastAsia="Times New Roman" w:hAnsi="Times New Roman"/>
          <w:b/>
          <w:shd w:val="clear" w:color="auto" w:fill="FFFFFF"/>
        </w:rPr>
      </w:pPr>
      <w:r>
        <w:rPr>
          <w:rFonts w:ascii="Times New Roman" w:eastAsia="Times New Roman" w:hAnsi="Times New Roman"/>
          <w:b/>
          <w:shd w:val="clear" w:color="auto" w:fill="FFFFFF"/>
        </w:rPr>
        <w:t>No.  LEASE cost should be included as part of the Roll off L/I.  Additionally, incl</w:t>
      </w:r>
      <w:r>
        <w:rPr>
          <w:rFonts w:ascii="Times New Roman" w:eastAsia="Times New Roman" w:hAnsi="Times New Roman"/>
          <w:b/>
          <w:shd w:val="clear" w:color="auto" w:fill="FFFFFF"/>
        </w:rPr>
        <w:t>ude within Option Year L/I’s.</w:t>
      </w:r>
    </w:p>
    <w:p w:rsidR="00E91DDA" w:rsidRDefault="002C41ED" w:rsidP="00E91DDA">
      <w:pPr>
        <w:pStyle w:val="ListParagraph"/>
        <w:rPr>
          <w:rFonts w:ascii="Times New Roman" w:eastAsia="Times New Roman" w:hAnsi="Times New Roman"/>
          <w:b/>
          <w:shd w:val="clear" w:color="auto" w:fill="FFFFFF"/>
        </w:rPr>
      </w:pPr>
    </w:p>
    <w:p w:rsidR="00E91DDA" w:rsidRDefault="002C41ED" w:rsidP="00E91DD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What if contractor shows on-site to the VA facility to accomplish services only to find requested container blocked?  Historically – how many times annually/overall has the aforementioned dilemma occurred? </w:t>
      </w:r>
    </w:p>
    <w:p w:rsidR="00E91DDA" w:rsidRDefault="002C41ED" w:rsidP="00E91DDA">
      <w:pPr>
        <w:pStyle w:val="ListParagrap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b/>
          <w:shd w:val="clear" w:color="auto" w:fill="FFFFFF"/>
        </w:rPr>
        <w:t xml:space="preserve">Build in the possibility via a “contingency” cost to applicable L/Is.  Historically, this occurred not more than ten (10) times overall (i.e., average of twice per year). </w:t>
      </w:r>
      <w:r>
        <w:rPr>
          <w:rFonts w:ascii="Times New Roman" w:eastAsia="Times New Roman" w:hAnsi="Times New Roman"/>
          <w:shd w:val="clear" w:color="auto" w:fill="FFFFFF"/>
        </w:rPr>
        <w:t xml:space="preserve">       </w:t>
      </w:r>
    </w:p>
    <w:p w:rsidR="001121C7" w:rsidRDefault="002C41ED"/>
    <w:sectPr w:rsidR="001121C7">
      <w:footerReference w:type="default" r:id="rId8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1ED">
      <w:pPr>
        <w:spacing w:after="0" w:line="240" w:lineRule="auto"/>
      </w:pPr>
      <w:r>
        <w:separator/>
      </w:r>
    </w:p>
  </w:endnote>
  <w:endnote w:type="continuationSeparator" w:id="0">
    <w:p w:rsidR="00000000" w:rsidRDefault="002C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95" w:rsidRDefault="002C41ED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1ED">
      <w:pPr>
        <w:spacing w:after="0" w:line="240" w:lineRule="auto"/>
      </w:pPr>
      <w:r>
        <w:separator/>
      </w:r>
    </w:p>
  </w:footnote>
  <w:footnote w:type="continuationSeparator" w:id="0">
    <w:p w:rsidR="00000000" w:rsidRDefault="002C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5E0"/>
    <w:multiLevelType w:val="hybridMultilevel"/>
    <w:tmpl w:val="2320EC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4625F6"/>
    <w:multiLevelType w:val="hybridMultilevel"/>
    <w:tmpl w:val="B4408658"/>
    <w:lvl w:ilvl="0" w:tplc="6CD254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2C41ED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EE4395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94"/>
        <o:r id="V:Rule2" type="connector" idref="#_x0000_s1093"/>
        <o:r id="V:Rule3" type="connector" idref="#_x0000_s1092"/>
        <o:r id="V:Rule4" type="connector" idref="#_x0000_s1091"/>
        <o:r id="V:Rule5" type="connector" idref="#_x0000_s1090"/>
        <o:r id="V:Rule6" type="connector" idref="#_x0000_s1089"/>
        <o:r id="V:Rule7" type="connector" idref="#_x0000_s1088"/>
        <o:r id="V:Rule8" type="connector" idref="#_x0000_s1087"/>
        <o:r id="V:Rule9" type="connector" idref="#_x0000_s1086"/>
        <o:r id="V:Rule10" type="connector" idref="#_x0000_s1085"/>
        <o:r id="V:Rule11" type="connector" idref="#_x0000_s1084"/>
        <o:r id="V:Rule12" type="connector" idref="#_x0000_s1083"/>
        <o:r id="V:Rule13" type="connector" idref="#_x0000_s1082"/>
        <o:r id="V:Rule14" type="connector" idref="#_x0000_s1081"/>
        <o:r id="V:Rule15" type="connector" idref="#_x0000_s1080"/>
        <o:r id="V:Rule16" type="connector" idref="#_x0000_s1079"/>
        <o:r id="V:Rule17" type="connector" idref="#_x0000_s1078"/>
        <o:r id="V:Rule18" type="connector" idref="#_x0000_s1077"/>
        <o:r id="V:Rule19" type="connector" idref="#_x0000_s1076"/>
        <o:r id="V:Rule20" type="connector" idref="#_x0000_s1075"/>
        <o:r id="V:Rule21" type="connector" idref="#_x0000_s1074"/>
        <o:r id="V:Rule22" type="connector" idref="#_x0000_s1073"/>
        <o:r id="V:Rule23" type="connector" idref="#_x0000_s1072"/>
        <o:r id="V:Rule24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8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Robert S.</dc:creator>
  <cp:lastModifiedBy>Miller, Robert S.</cp:lastModifiedBy>
  <cp:revision>2</cp:revision>
  <dcterms:created xsi:type="dcterms:W3CDTF">2014-02-26T14:56:00Z</dcterms:created>
  <dcterms:modified xsi:type="dcterms:W3CDTF">2014-02-26T14:56:00Z</dcterms:modified>
</cp:coreProperties>
</file>