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C7" w:rsidRDefault="00710FBA">
      <w:pPr>
        <w:pageBreakBefore/>
        <w:rPr>
          <w:color w:val="FFFFFF"/>
        </w:rPr>
        <w:sectPr w:rsidR="000948C7">
          <w:type w:val="continuous"/>
          <w:pgSz w:w="12240" w:h="15840"/>
          <w:pgMar w:top="1080" w:right="720" w:bottom="1080" w:left="720" w:header="360" w:footer="360" w:gutter="0"/>
          <w:cols w:space="720"/>
        </w:sectPr>
      </w:pPr>
      <w:r>
        <w:rPr>
          <w:noProof/>
          <w:color w:val="FFFFFF"/>
        </w:rPr>
        <w:pict>
          <v:shapetype id="_x0000_m1117"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6" type="#_x0000_t32" style="position:absolute;left:624;top:1248;width:10939;height:0;mso-position-horizontal-relative:page;mso-position-vertical-relative:page" o:connectortype="straight" strokeweight="2.4pt"/>
            <v:shape id="_x0000_s1115" type="#_x0000_t32" style="position:absolute;left:624;top:2112;width:10939;height:0;mso-position-horizontal-relative:page;mso-position-vertical-relative:page" o:connectortype="straight" strokeweight="1.92pt"/>
            <v:shape id="_x0000_s1114" type="#_x0000_t32" style="position:absolute;left:624;top:2208;width:10939;height:0;mso-position-horizontal-relative:page;mso-position-vertical-relative:page" o:connectortype="straight" strokeweight="1.92pt"/>
            <v:shape id="_x0000_s1113" type="#_x0000_t32" style="position:absolute;left:624;top:2688;width:10939;height:0;mso-position-horizontal-relative:page;mso-position-vertical-relative:page" o:connectortype="straight" strokeweight=".96pt"/>
            <v:shape id="_x0000_s1112" type="#_x0000_t32" style="position:absolute;left:624;top:3840;width:10939;height:0;mso-position-horizontal-relative:page;mso-position-vertical-relative:page" o:connectortype="straight" strokeweight="1.92pt"/>
            <v:shape id="_x0000_s1111" type="#_x0000_t32" style="position:absolute;left:624;top:4152;width:10939;height:0;mso-position-horizontal-relative:page;mso-position-vertical-relative:page" o:connectortype="straight" strokeweight="1.92pt"/>
            <v:shape id="_x0000_s1110" type="#_x0000_t32" style="position:absolute;left:624;top:4632;width:10939;height:0;mso-position-horizontal-relative:page;mso-position-vertical-relative:page" o:connectortype="straight" strokeweight=".96pt"/>
            <v:shape id="_x0000_s1109" type="#_x0000_t32" style="position:absolute;left:624;top:5112;width:10939;height:0;mso-position-horizontal-relative:page;mso-position-vertical-relative:page" o:connectortype="straight" strokeweight=".96pt"/>
            <v:shape id="_x0000_s1108" type="#_x0000_t32" style="position:absolute;left:624;top:5592;width:10939;height:0;mso-position-horizontal-relative:page;mso-position-vertical-relative:page" o:connectortype="straight" strokeweight=".96pt"/>
            <v:shape id="_x0000_s1107" type="#_x0000_t32" style="position:absolute;left:624;top:6072;width:10939;height:0;mso-position-horizontal-relative:page;mso-position-vertical-relative:page" o:connectortype="straight" strokeweight=".96pt"/>
            <v:shape id="_x0000_s1106" type="#_x0000_t32" style="position:absolute;left:624;top:6552;width:10939;height:0;mso-position-horizontal-relative:page;mso-position-vertical-relative:page" o:connectortype="straight" strokeweight=".96pt"/>
            <v:shape id="_x0000_s1105" type="#_x0000_t32" style="position:absolute;left:624;top:7032;width:10939;height:0;mso-position-horizontal-relative:page;mso-position-vertical-relative:page" o:connectortype="straight" strokeweight=".96pt"/>
            <v:shape id="_x0000_s1104" type="#_x0000_t32" style="position:absolute;left:624;top:7512;width:10939;height:0;mso-position-horizontal-relative:page;mso-position-vertical-relative:page" o:connectortype="straight" strokeweight=".96pt"/>
            <v:shape id="_x0000_s1103" type="#_x0000_t32" style="position:absolute;left:624;top:8568;width:10939;height:0;mso-position-horizontal-relative:page;mso-position-vertical-relative:page" o:connectortype="straight" strokeweight=".96pt"/>
            <v:shape id="_x0000_s1102" type="#_x0000_t32" style="position:absolute;left:624;top:9048;width:10939;height:0;mso-position-horizontal-relative:page;mso-position-vertical-relative:page" o:connectortype="straight" strokeweight=".96pt"/>
            <v:shape id="_x0000_s1101" type="#_x0000_t32" style="position:absolute;left:624;top:10272;width:10939;height:0;mso-position-horizontal-relative:page;mso-position-vertical-relative:page" o:connectortype="straight" strokeweight="1.92pt"/>
            <v:shape id="_x0000_s1100" type="#_x0000_t32" style="position:absolute;left:624;top:10584;width:10939;height:0;mso-position-horizontal-relative:page;mso-position-vertical-relative:page" o:connectortype="straight" strokeweight="1.92pt"/>
            <v:shape id="_x0000_s1099" type="#_x0000_t32" style="position:absolute;left:624;top:11664;width:10939;height:0;mso-position-horizontal-relative:page;mso-position-vertical-relative:page" o:connectortype="straight" strokeweight=".96pt"/>
            <v:shape id="_x0000_s1098" type="#_x0000_t32" style="position:absolute;left:624;top:12144;width:10939;height:0;mso-position-horizontal-relative:page;mso-position-vertical-relative:page" o:connectortype="straight" strokeweight=".96pt"/>
            <v:shape id="_x0000_s1097" type="#_x0000_t32" style="position:absolute;left:624;top:12600;width:10939;height:0;mso-position-horizontal-relative:page;mso-position-vertical-relative:page" o:connectortype="straight" strokeweight="1.92pt"/>
            <v:shape id="_x0000_s1096" type="#_x0000_t32" style="position:absolute;left:624;top:12912;width:10939;height:0;mso-position-horizontal-relative:page;mso-position-vertical-relative:page" o:connectortype="straight" strokeweight="1.92pt"/>
            <v:shape id="_x0000_s1095" type="#_x0000_t32" style="position:absolute;left:624;top:13392;width:10939;height:0;mso-position-horizontal-relative:page;mso-position-vertical-relative:page" o:connectortype="straight" strokeweight=".96pt"/>
            <v:shape id="_x0000_s1094" type="#_x0000_t32" style="position:absolute;left:624;top:13872;width:10939;height:0;mso-position-horizontal-relative:page;mso-position-vertical-relative:page" o:connectortype="straight" strokeweight="1.92pt"/>
            <v:shape id="_x0000_s1093" type="#_x0000_t32" style="position:absolute;left:624;top:14352;width:10939;height:0;mso-position-horizontal-relative:page;mso-position-vertical-relative:page" o:connectortype="straight" strokeweight=".96pt"/>
            <v:shape id="_x0000_s1092" type="#_x0000_t32" style="position:absolute;left:624;top:14832;width:10939;height:0;mso-position-horizontal-relative:page;mso-position-vertical-relative:page" o:connectortype="straight" strokeweight="2.4pt"/>
            <v:shape id="_x0000_s1091" type="#_x0000_t32" style="position:absolute;left:624;top:1248;width:0;height:13584;mso-position-horizontal-relative:page;mso-position-vertical-relative:page" o:connectortype="straight" strokeweight="2.16pt"/>
            <v:shape id="_x0000_s1090" type="#_x0000_t32" style="position:absolute;left:3840;top:2208;width:0;height:1632;mso-position-horizontal-relative:page;mso-position-vertical-relative:page" o:connectortype="straight" strokeweight=".72pt"/>
            <v:shape id="_x0000_s1089" type="#_x0000_t32" style="position:absolute;left:3840;top:4152;width:0;height:6120;mso-position-horizontal-relative:page;mso-position-vertical-relative:page" o:connectortype="straight" strokeweight=".72pt"/>
            <v:shape id="_x0000_s1088" type="#_x0000_t32" style="position:absolute;left:3840;top:10584;width:0;height:2016;mso-position-horizontal-relative:page;mso-position-vertical-relative:page" o:connectortype="straight" strokeweight=".72pt"/>
            <v:shape id="_x0000_s1087" type="#_x0000_t32" style="position:absolute;left:3840;top:12912;width:0;height:1920;mso-position-horizontal-relative:page;mso-position-vertical-relative:page" o:connectortype="straight" strokeweight=".72pt"/>
            <v:shape id="_x0000_s1086" type="#_x0000_t32" style="position:absolute;left:11544;top:1248;width:0;height:13584;mso-position-horizontal-relative:page;mso-position-vertical-relative:page" o:connectortype="straight" strokeweight="2.16pt"/>
            <v:shape id="_x0000_s1085" type="#_x0000_m1117" style="position:absolute;left:4992;top:1352;width:7248;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4" type="#_x0000_m1117" style="position:absolute;left:3696;top:1684;width:8544;height:4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39"/>
                        <w:szCs w:val="39"/>
                      </w:rPr>
                    </w:pPr>
                    <w:r>
                      <w:rPr>
                        <w:rFonts w:ascii="Arial" w:hAnsi="Arial" w:cs="Arial"/>
                        <w:sz w:val="39"/>
                        <w:szCs w:val="39"/>
                      </w:rPr>
                      <w:t>Sources Sought Notice</w:t>
                    </w:r>
                  </w:p>
                </w:txbxContent>
              </v:textbox>
            </v:shape>
            <v:shape id="_x0000_s1083" type="#_x0000_m1117"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82" type="#_x0000_m1117"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81" type="#_x0000_m1117"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80" type="#_x0000_m1117"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79" type="#_x0000_m1117"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78" type="#_x0000_m1117"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77" type="#_x0000_m1117"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9"/>
                        <w:szCs w:val="29"/>
                      </w:rPr>
                    </w:pPr>
                    <w:r>
                      <w:rPr>
                        <w:rFonts w:ascii="Arial" w:hAnsi="Arial" w:cs="Arial"/>
                        <w:sz w:val="29"/>
                        <w:szCs w:val="29"/>
                      </w:rPr>
                      <w:t>*</w:t>
                    </w:r>
                  </w:p>
                </w:txbxContent>
              </v:textbox>
            </v:shape>
            <v:shape id="_x0000_s1076" type="#_x0000_m1117"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CLASSIFICATION CODE</w:t>
                    </w:r>
                  </w:p>
                </w:txbxContent>
              </v:textbox>
            </v:shape>
            <v:shape id="_x0000_s1075" type="#_x0000_m1117"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SUBJECT</w:t>
                    </w:r>
                  </w:p>
                </w:txbxContent>
              </v:textbox>
            </v:shape>
            <v:shape id="_x0000_s1074" type="#_x0000_m1117"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CONTRACTING OFFICE'S</w:t>
                    </w:r>
                  </w:p>
                </w:txbxContent>
              </v:textbox>
            </v:shape>
            <v:shape id="_x0000_s1073" type="#_x0000_m1117"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ZIP-CODE</w:t>
                    </w:r>
                  </w:p>
                </w:txbxContent>
              </v:textbox>
            </v:shape>
            <v:shape id="_x0000_s1072" type="#_x0000_m1117" style="position:absolute;left:672;top:476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SOLICITATION NUMBER</w:t>
                    </w:r>
                  </w:p>
                </w:txbxContent>
              </v:textbox>
            </v:shape>
            <v:shape id="_x0000_s1071" type="#_x0000_m1117" style="position:absolute;left:672;top:524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RESPONSE DATE (MM-DD-YYYY)</w:t>
                    </w:r>
                  </w:p>
                </w:txbxContent>
              </v:textbox>
            </v:shape>
            <v:shape id="_x0000_s1070" type="#_x0000_m1117" style="position:absolute;left:672;top:572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ARCHIVE</w:t>
                    </w:r>
                  </w:p>
                </w:txbxContent>
              </v:textbox>
            </v:shape>
            <v:shape id="_x0000_s1069" type="#_x0000_m1117" style="position:absolute;left:4608;top:5724;width:7632;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DAYS AFTER THE RESPONSE DATE</w:t>
                    </w:r>
                  </w:p>
                </w:txbxContent>
              </v:textbox>
            </v:shape>
            <v:shape id="_x0000_s1068" type="#_x0000_m1117" style="position:absolute;left:672;top:620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RECOVERY ACT FUNDS</w:t>
                    </w:r>
                  </w:p>
                </w:txbxContent>
              </v:textbox>
            </v:shape>
            <v:shape id="_x0000_s1067" type="#_x0000_m1117"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SET-ASIDE</w:t>
                    </w:r>
                    <w:r w:rsidR="008D2B8F">
                      <w:rPr>
                        <w:rFonts w:ascii="Arial" w:hAnsi="Arial" w:cs="Arial"/>
                        <w:sz w:val="19"/>
                        <w:szCs w:val="19"/>
                      </w:rPr>
                      <w:tab/>
                      <w:t xml:space="preserve">      </w:t>
                    </w:r>
                    <w:r w:rsidR="008D2B8F">
                      <w:rPr>
                        <w:rFonts w:ascii="Arial" w:hAnsi="Arial" w:cs="Arial"/>
                        <w:sz w:val="19"/>
                        <w:szCs w:val="19"/>
                      </w:rPr>
                      <w:tab/>
                      <w:t xml:space="preserve">     </w:t>
                    </w:r>
                    <w:r w:rsidR="008D2B8F">
                      <w:rPr>
                        <w:rFonts w:ascii="Arial" w:hAnsi="Arial" w:cs="Arial"/>
                        <w:sz w:val="19"/>
                        <w:szCs w:val="19"/>
                      </w:rPr>
                      <w:tab/>
                      <w:t xml:space="preserve">      </w:t>
                    </w:r>
                    <w:r w:rsidR="008D2B8F">
                      <w:rPr>
                        <w:rFonts w:ascii="Courier New" w:hAnsi="Courier New" w:cs="Courier New"/>
                        <w:sz w:val="15"/>
                        <w:szCs w:val="15"/>
                      </w:rPr>
                      <w:t xml:space="preserve">Provide your business size with response. </w:t>
                    </w:r>
                    <w:r w:rsidR="008D2B8F">
                      <w:rPr>
                        <w:rFonts w:ascii="Courier New" w:hAnsi="Courier New" w:cs="Courier New"/>
                        <w:sz w:val="15"/>
                        <w:szCs w:val="15"/>
                      </w:rPr>
                      <w:t>Please include GSA Schedule if</w:t>
                    </w:r>
                    <w:r w:rsidR="008D2B8F">
                      <w:rPr>
                        <w:rFonts w:ascii="Arial" w:hAnsi="Arial" w:cs="Arial"/>
                        <w:sz w:val="19"/>
                        <w:szCs w:val="19"/>
                      </w:rPr>
                      <w:t xml:space="preserve"> </w:t>
                    </w:r>
                    <w:r w:rsidR="008D2B8F">
                      <w:rPr>
                        <w:rFonts w:ascii="Courier New" w:hAnsi="Courier New" w:cs="Courier New"/>
                        <w:sz w:val="15"/>
                        <w:szCs w:val="15"/>
                      </w:rPr>
                      <w:t>applicable</w:t>
                    </w:r>
                    <w:r w:rsidR="008D2B8F">
                      <w:rPr>
                        <w:rFonts w:ascii="Courier New" w:hAnsi="Courier New" w:cs="Courier New"/>
                        <w:sz w:val="15"/>
                        <w:szCs w:val="15"/>
                      </w:rPr>
                      <w:t>.</w:t>
                    </w:r>
                    <w:bookmarkStart w:id="0" w:name="_GoBack"/>
                    <w:bookmarkEnd w:id="0"/>
                  </w:p>
                </w:txbxContent>
              </v:textbox>
            </v:shape>
            <v:shape id="_x0000_s1066" type="#_x0000_m1117"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NAICS CODE</w:t>
                    </w:r>
                  </w:p>
                </w:txbxContent>
              </v:textbox>
            </v:shape>
            <v:shape id="_x0000_s1065" type="#_x0000_m1117"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CONTRACTING OFFICE</w:t>
                    </w:r>
                  </w:p>
                </w:txbxContent>
              </v:textbox>
            </v:shape>
            <v:shape id="_x0000_s1064" type="#_x0000_m1117"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ADDRESS</w:t>
                    </w:r>
                  </w:p>
                </w:txbxContent>
              </v:textbox>
            </v:shape>
            <v:shape id="_x0000_s1063" type="#_x0000_m1117"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POINT OF CONTACT</w:t>
                    </w:r>
                  </w:p>
                </w:txbxContent>
              </v:textbox>
            </v:shape>
            <v:shape id="_x0000_s1062" type="#_x0000_m1117"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5"/>
                        <w:szCs w:val="15"/>
                      </w:rPr>
                    </w:pPr>
                    <w:r>
                      <w:rPr>
                        <w:rFonts w:ascii="Arial" w:hAnsi="Arial" w:cs="Arial"/>
                        <w:sz w:val="15"/>
                        <w:szCs w:val="15"/>
                      </w:rPr>
                      <w:t>(POC Information Automatically Filled from</w:t>
                    </w:r>
                  </w:p>
                </w:txbxContent>
              </v:textbox>
            </v:shape>
            <v:shape id="_x0000_s1061" type="#_x0000_m1117"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5"/>
                        <w:szCs w:val="15"/>
                      </w:rPr>
                    </w:pPr>
                    <w:r>
                      <w:rPr>
                        <w:rFonts w:ascii="Arial" w:hAnsi="Arial" w:cs="Arial"/>
                        <w:sz w:val="15"/>
                        <w:szCs w:val="15"/>
                      </w:rPr>
                      <w:t>User Profile Unless Entered)</w:t>
                    </w:r>
                  </w:p>
                </w:txbxContent>
              </v:textbox>
            </v:shape>
            <v:shape id="_x0000_s1060" type="#_x0000_m1117"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DESCRIPTION</w:t>
                    </w:r>
                  </w:p>
                </w:txbxContent>
              </v:textbox>
            </v:shape>
            <v:shape id="_x0000_s1059" type="#_x0000_m1117" style="position:absolute;left:3888;top:8748;width:8352;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See Attachment</w:t>
                    </w:r>
                  </w:p>
                </w:txbxContent>
              </v:textbox>
            </v:shape>
            <v:shape id="_x0000_s1058" type="#_x0000_m1117"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AGENCY'S URL</w:t>
                    </w:r>
                  </w:p>
                </w:txbxContent>
              </v:textbox>
            </v:shape>
            <v:shape id="_x0000_s1057" type="#_x0000_m1117"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URL DESCRIPTION</w:t>
                    </w:r>
                  </w:p>
                </w:txbxContent>
              </v:textbox>
            </v:shape>
            <v:shape id="_x0000_s1056" type="#_x0000_m1117"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AGENCY CONTACT'S EMAIL</w:t>
                    </w:r>
                  </w:p>
                </w:txbxContent>
              </v:textbox>
            </v:shape>
            <v:shape id="_x0000_s1055" type="#_x0000_m1117"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ADDRESS</w:t>
                    </w:r>
                  </w:p>
                </w:txbxContent>
              </v:textbox>
            </v:shape>
            <v:shape id="_x0000_s1054" type="#_x0000_m1117"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EMAIL DESCRIPTION</w:t>
                    </w:r>
                  </w:p>
                </w:txbxContent>
              </v:textbox>
            </v:shape>
            <v:shape id="_x0000_s1053" type="#_x0000_m1117"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ADDRESS</w:t>
                    </w:r>
                  </w:p>
                </w:txbxContent>
              </v:textbox>
            </v:shape>
            <v:shape id="_x0000_s1052" type="#_x0000_m1117"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POSTAL CODE</w:t>
                    </w:r>
                  </w:p>
                </w:txbxContent>
              </v:textbox>
            </v:shape>
            <v:shape id="_x0000_s1051" type="#_x0000_m1117"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9"/>
                        <w:szCs w:val="19"/>
                      </w:rPr>
                    </w:pPr>
                    <w:r>
                      <w:rPr>
                        <w:rFonts w:ascii="Arial" w:hAnsi="Arial" w:cs="Arial"/>
                        <w:sz w:val="19"/>
                        <w:szCs w:val="19"/>
                      </w:rPr>
                      <w:t>COUNTRY</w:t>
                    </w:r>
                  </w:p>
                </w:txbxContent>
              </v:textbox>
            </v:shape>
            <v:shape id="_x0000_s1050" type="#_x0000_m1117"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3"/>
                        <w:szCs w:val="23"/>
                      </w:rPr>
                    </w:pPr>
                    <w:r>
                      <w:rPr>
                        <w:rFonts w:ascii="Arial" w:hAnsi="Arial" w:cs="Arial"/>
                        <w:sz w:val="23"/>
                        <w:szCs w:val="23"/>
                      </w:rPr>
                      <w:t>ADDITIONAL INFORMATION</w:t>
                    </w:r>
                  </w:p>
                </w:txbxContent>
              </v:textbox>
            </v:shape>
            <v:shape id="_x0000_s1049" type="#_x0000_m1117"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3"/>
                        <w:szCs w:val="23"/>
                      </w:rPr>
                    </w:pPr>
                    <w:r>
                      <w:rPr>
                        <w:rFonts w:ascii="Arial" w:hAnsi="Arial" w:cs="Arial"/>
                        <w:sz w:val="23"/>
                        <w:szCs w:val="23"/>
                      </w:rPr>
                      <w:t>GENERAL INFORMATION</w:t>
                    </w:r>
                  </w:p>
                </w:txbxContent>
              </v:textbox>
            </v:shape>
            <v:shape id="_x0000_s1048" type="#_x0000_m1117"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3"/>
                        <w:szCs w:val="23"/>
                      </w:rPr>
                    </w:pPr>
                    <w:r>
                      <w:rPr>
                        <w:rFonts w:ascii="Arial" w:hAnsi="Arial" w:cs="Arial"/>
                        <w:sz w:val="23"/>
                        <w:szCs w:val="23"/>
                      </w:rPr>
                      <w:t>PLACE OF PERFORMANCE</w:t>
                    </w:r>
                  </w:p>
                </w:txbxContent>
              </v:textbox>
            </v:shape>
            <v:shape id="_x0000_s1047" type="#_x0000_m1117"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23"/>
                        <w:szCs w:val="23"/>
                      </w:rPr>
                    </w:pPr>
                    <w:r>
                      <w:rPr>
                        <w:rFonts w:ascii="Arial" w:hAnsi="Arial" w:cs="Arial"/>
                        <w:sz w:val="23"/>
                        <w:szCs w:val="23"/>
                      </w:rPr>
                      <w:t>* = Required Field</w:t>
                    </w:r>
                  </w:p>
                </w:txbxContent>
              </v:textbox>
            </v:shape>
            <v:shape id="_x0000_s1046" type="#_x0000_m1117" style="position:absolute;left:9312;top:14884;width:2928;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45" type="#_x0000_m1117" style="position:absolute;left:9312;top:15076;width:2928;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Arial" w:hAnsi="Arial" w:cs="Arial"/>
                        <w:sz w:val="15"/>
                        <w:szCs w:val="15"/>
                      </w:rPr>
                    </w:pPr>
                    <w:r>
                      <w:rPr>
                        <w:rFonts w:ascii="Arial" w:hAnsi="Arial" w:cs="Arial"/>
                        <w:sz w:val="15"/>
                        <w:szCs w:val="15"/>
                      </w:rPr>
                      <w:t>Rev. March 2010</w:t>
                    </w:r>
                  </w:p>
                </w:txbxContent>
              </v:textbox>
            </v:shape>
            <v:shape id="_x0000_s1044" type="#_x0000_m1117"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w:t>
                    </w:r>
                  </w:p>
                </w:txbxContent>
              </v:textbox>
            </v:shape>
            <v:shape id="_x0000_s1043" type="#_x0000_m1117"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Online Registration</w:t>
                    </w:r>
                  </w:p>
                </w:txbxContent>
              </v:textbox>
            </v:shape>
            <v:shape id="_x0000_s1042" type="#_x0000_m1117" style="position:absolute;left:3888;top:2980;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National Veterans Golden Age Games</w:t>
                    </w:r>
                  </w:p>
                </w:txbxContent>
              </v:textbox>
            </v:shape>
            <v:shape id="_x0000_s1041" type="#_x0000_m1117"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20420</w:t>
                    </w:r>
                  </w:p>
                </w:txbxContent>
              </v:textbox>
            </v:shape>
            <v:shape id="_x0000_s1040" type="#_x0000_m1117" style="position:absolute;left:3888;top:475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VA101-14-I-0097</w:t>
                    </w:r>
                  </w:p>
                </w:txbxContent>
              </v:textbox>
            </v:shape>
            <v:shape id="_x0000_s1039" type="#_x0000_m1117" style="position:absolute;left:3888;top:523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03-26-2014</w:t>
                    </w:r>
                  </w:p>
                </w:txbxContent>
              </v:textbox>
            </v:shape>
            <v:shape id="_x0000_s1038" type="#_x0000_m1117" style="position:absolute;left:3888;top:571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30</w:t>
                    </w:r>
                  </w:p>
                </w:txbxContent>
              </v:textbox>
            </v:shape>
            <v:shape id="_x0000_s1037" type="#_x0000_m1117" style="position:absolute;left:3888;top:619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N</w:t>
                    </w:r>
                  </w:p>
                </w:txbxContent>
              </v:textbox>
            </v:shape>
            <v:shape id="_x0000_s1036" type="#_x0000_m1117"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541512</w:t>
                    </w:r>
                  </w:p>
                </w:txbxContent>
              </v:textbox>
            </v:shape>
            <v:shape id="_x0000_s1035" type="#_x0000_m1117" style="position:absolute;left:3888;top:7564;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4" type="#_x0000_m1117"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Acquisition Business Service</w:t>
                    </w:r>
                  </w:p>
                </w:txbxContent>
              </v:textbox>
            </v:shape>
            <v:shape id="_x0000_s1033" type="#_x0000_m1117" style="position:absolute;left:3888;top:7948;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Office of Acquisition Operations (003B))</w:t>
                    </w:r>
                  </w:p>
                </w:txbxContent>
              </v:textbox>
            </v:shape>
            <v:shape id="_x0000_s1032" type="#_x0000_m1117"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 xml:space="preserve">425 I </w:t>
                    </w:r>
                    <w:proofErr w:type="gramStart"/>
                    <w:r>
                      <w:rPr>
                        <w:rFonts w:ascii="Courier New" w:hAnsi="Courier New" w:cs="Courier New"/>
                        <w:sz w:val="15"/>
                        <w:szCs w:val="15"/>
                      </w:rPr>
                      <w:t>Street ,NW</w:t>
                    </w:r>
                    <w:proofErr w:type="gramEnd"/>
                  </w:p>
                </w:txbxContent>
              </v:textbox>
            </v:shape>
            <v:shape id="_x0000_s1031" type="#_x0000_m1117"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Washington DC  20001</w:t>
                    </w:r>
                  </w:p>
                </w:txbxContent>
              </v:textbox>
            </v:shape>
            <v:shape id="_x0000_s1030" type="#_x0000_m1117" style="position:absolute;left:3888;top:9076;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Dan Cordes Contract Specialist</w:t>
                    </w:r>
                  </w:p>
                </w:txbxContent>
              </v:textbox>
            </v:shape>
            <v:shape id="_x0000_s1029" type="#_x0000_m1117" style="position:absolute;left:3888;top:9268;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Daniel.Cordes@va.gov</w:t>
                    </w:r>
                  </w:p>
                </w:txbxContent>
              </v:textbox>
            </v:shape>
            <v:shape id="_x0000_s1028" type="#_x0000_m1117" style="position:absolute;left:3888;top:14020;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Daniel.Cordes@va.gov</w:t>
                    </w:r>
                  </w:p>
                </w:txbxContent>
              </v:textbox>
            </v:shape>
            <v:shape id="_x0000_s1027" type="#_x0000_m1117" style="position:absolute;left:3888;top:14500;width:8352;height:172;mso-position-horizontal-relative:page;mso-position-vertical-relative:page" o:spt="202" path="m,l,21600r21600,l21600,xe" filled="f" stroked="f">
              <v:stroke joinstyle="miter"/>
              <v:path gradientshapeok="t" fillok="f" o:connecttype="rect"/>
              <v:textbox inset="0,0,0,0">
                <w:txbxContent>
                  <w:p w:rsidR="000948C7" w:rsidRDefault="00CA65A2">
                    <w:pPr>
                      <w:rPr>
                        <w:rFonts w:ascii="Courier New" w:hAnsi="Courier New" w:cs="Courier New"/>
                        <w:sz w:val="15"/>
                        <w:szCs w:val="15"/>
                      </w:rPr>
                    </w:pPr>
                    <w:r>
                      <w:rPr>
                        <w:rFonts w:ascii="Courier New" w:hAnsi="Courier New" w:cs="Courier New"/>
                        <w:sz w:val="15"/>
                        <w:szCs w:val="15"/>
                      </w:rPr>
                      <w:t>Daniel.Cordes@va.gov</w:t>
                    </w:r>
                  </w:p>
                </w:txbxContent>
              </v:textbox>
            </v:shape>
            <w10:wrap anchorx="page" anchory="page"/>
          </v:group>
        </w:pict>
      </w:r>
    </w:p>
    <w:p w:rsidR="00AF0C2B" w:rsidRDefault="00710FBA" w:rsidP="00AF0C2B">
      <w:pPr>
        <w:pStyle w:val="Heading2"/>
        <w:pageBreakBefore/>
        <w:ind w:left="720" w:hanging="720"/>
      </w:pPr>
    </w:p>
    <w:tbl>
      <w:tblPr>
        <w:tblW w:w="5000" w:type="pct"/>
        <w:jc w:val="center"/>
        <w:tblLook w:val="04A0" w:firstRow="1" w:lastRow="0" w:firstColumn="1" w:lastColumn="0" w:noHBand="0" w:noVBand="1"/>
      </w:tblPr>
      <w:tblGrid>
        <w:gridCol w:w="11016"/>
      </w:tblGrid>
      <w:tr w:rsidR="00AF0C2B" w:rsidTr="00AF0C2B">
        <w:trPr>
          <w:trHeight w:val="2880"/>
          <w:jc w:val="center"/>
        </w:trPr>
        <w:tc>
          <w:tcPr>
            <w:tcW w:w="5000" w:type="pct"/>
          </w:tcPr>
          <w:p w:rsidR="00AF0C2B" w:rsidRDefault="00CA65A2">
            <w:pPr>
              <w:rPr>
                <w:noProof/>
              </w:rPr>
            </w:pPr>
            <w:r>
              <w:rPr>
                <w:noProof/>
              </w:rPr>
              <w:drawing>
                <wp:inline distT="0" distB="0" distL="0" distR="0">
                  <wp:extent cx="981075" cy="981075"/>
                  <wp:effectExtent l="0" t="0" r="9525" b="9525"/>
                  <wp:docPr id="1" name="Picture 1" descr="Description: 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eteransAffairs-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pPr>
              <w:rPr>
                <w:noProof/>
              </w:rPr>
            </w:pPr>
          </w:p>
          <w:p w:rsidR="00AF0C2B" w:rsidRDefault="00710FBA"/>
        </w:tc>
      </w:tr>
    </w:tbl>
    <w:p w:rsidR="00AF0C2B" w:rsidRDefault="00710FBA" w:rsidP="00AF0C2B">
      <w:pPr>
        <w:pStyle w:val="PlainText"/>
        <w:jc w:val="center"/>
        <w:rPr>
          <w:rFonts w:ascii="Times New Roman" w:hAnsi="Times New Roman"/>
          <w:b/>
          <w:sz w:val="24"/>
          <w:szCs w:val="24"/>
        </w:rPr>
      </w:pPr>
    </w:p>
    <w:p w:rsidR="00AF0C2B" w:rsidRDefault="00CA65A2" w:rsidP="00AF0C2B">
      <w:pPr>
        <w:pStyle w:val="PlainText"/>
        <w:jc w:val="center"/>
        <w:rPr>
          <w:rFonts w:ascii="Arial" w:hAnsi="Arial" w:cs="Arial"/>
          <w:b/>
          <w:sz w:val="24"/>
          <w:szCs w:val="24"/>
        </w:rPr>
      </w:pPr>
      <w:r>
        <w:rPr>
          <w:rFonts w:ascii="Arial" w:hAnsi="Arial" w:cs="Arial"/>
          <w:b/>
          <w:sz w:val="24"/>
          <w:szCs w:val="24"/>
        </w:rPr>
        <w:t>Request for Information (RFI)</w:t>
      </w:r>
    </w:p>
    <w:p w:rsidR="00AF0C2B" w:rsidRDefault="00710FBA" w:rsidP="00AF0C2B">
      <w:pPr>
        <w:pStyle w:val="PlainText"/>
        <w:jc w:val="center"/>
        <w:rPr>
          <w:rFonts w:ascii="Arial" w:hAnsi="Arial" w:cs="Arial"/>
          <w:b/>
          <w:sz w:val="24"/>
          <w:szCs w:val="24"/>
        </w:rPr>
      </w:pPr>
    </w:p>
    <w:p w:rsidR="00AF0C2B" w:rsidRDefault="00710FBA" w:rsidP="00AF0C2B">
      <w:pPr>
        <w:pStyle w:val="PlainText"/>
        <w:jc w:val="center"/>
        <w:rPr>
          <w:rFonts w:ascii="Arial" w:hAnsi="Arial" w:cs="Arial"/>
          <w:b/>
          <w:color w:val="FF0000"/>
          <w:sz w:val="24"/>
          <w:szCs w:val="24"/>
        </w:rPr>
      </w:pPr>
    </w:p>
    <w:p w:rsidR="00AF0C2B" w:rsidRDefault="00710FBA" w:rsidP="00AF0C2B">
      <w:pPr>
        <w:pStyle w:val="PlainText"/>
        <w:jc w:val="center"/>
        <w:rPr>
          <w:rFonts w:ascii="Arial" w:hAnsi="Arial" w:cs="Arial"/>
          <w:b/>
          <w:color w:val="FF0000"/>
          <w:sz w:val="24"/>
          <w:szCs w:val="24"/>
        </w:rPr>
      </w:pPr>
    </w:p>
    <w:p w:rsidR="00AF0C2B" w:rsidRDefault="00CA65A2" w:rsidP="00AF0C2B">
      <w:pPr>
        <w:pStyle w:val="PlainText"/>
        <w:jc w:val="center"/>
        <w:rPr>
          <w:rFonts w:ascii="Arial" w:hAnsi="Arial" w:cs="Arial"/>
          <w:b/>
          <w:color w:val="000000" w:themeColor="text1"/>
          <w:sz w:val="24"/>
          <w:szCs w:val="24"/>
        </w:rPr>
      </w:pPr>
      <w:r>
        <w:rPr>
          <w:rFonts w:ascii="Arial" w:hAnsi="Arial" w:cs="Arial"/>
          <w:b/>
          <w:color w:val="000000" w:themeColor="text1"/>
          <w:sz w:val="24"/>
          <w:szCs w:val="24"/>
        </w:rPr>
        <w:t>DEPARTMENT OF VETERANS AFFAIRS</w:t>
      </w:r>
    </w:p>
    <w:p w:rsidR="00AF0C2B" w:rsidRDefault="00CA65A2" w:rsidP="00AF0C2B">
      <w:pPr>
        <w:pStyle w:val="PlainText"/>
        <w:jc w:val="center"/>
        <w:rPr>
          <w:rFonts w:ascii="Arial" w:hAnsi="Arial" w:cs="Arial"/>
          <w:b/>
          <w:color w:val="000000" w:themeColor="text1"/>
          <w:sz w:val="24"/>
          <w:szCs w:val="24"/>
        </w:rPr>
      </w:pPr>
      <w:r>
        <w:rPr>
          <w:rFonts w:ascii="Arial" w:hAnsi="Arial" w:cs="Arial"/>
          <w:b/>
          <w:color w:val="000000" w:themeColor="text1"/>
          <w:sz w:val="24"/>
          <w:szCs w:val="24"/>
        </w:rPr>
        <w:t>Office of Information &amp; Technology</w:t>
      </w:r>
    </w:p>
    <w:p w:rsidR="00AF0C2B" w:rsidRDefault="00CA65A2" w:rsidP="00AF0C2B">
      <w:pPr>
        <w:pStyle w:val="PlainText"/>
        <w:jc w:val="center"/>
        <w:rPr>
          <w:rFonts w:ascii="Arial" w:hAnsi="Arial" w:cs="Arial"/>
          <w:b/>
          <w:color w:val="000000" w:themeColor="text1"/>
          <w:sz w:val="24"/>
          <w:szCs w:val="24"/>
        </w:rPr>
      </w:pPr>
      <w:r>
        <w:rPr>
          <w:rFonts w:ascii="Arial" w:hAnsi="Arial" w:cs="Arial"/>
          <w:b/>
          <w:color w:val="000000" w:themeColor="text1"/>
          <w:sz w:val="24"/>
          <w:szCs w:val="24"/>
        </w:rPr>
        <w:t xml:space="preserve">Office of Public and Intergovernmental Affairs </w:t>
      </w:r>
    </w:p>
    <w:p w:rsidR="00AF0C2B" w:rsidRDefault="00CA65A2" w:rsidP="00AF0C2B">
      <w:pPr>
        <w:pStyle w:val="PlainText"/>
        <w:jc w:val="center"/>
        <w:rPr>
          <w:rFonts w:ascii="Arial" w:hAnsi="Arial" w:cs="Arial"/>
          <w:b/>
          <w:color w:val="000000" w:themeColor="text1"/>
          <w:sz w:val="24"/>
          <w:szCs w:val="24"/>
        </w:rPr>
      </w:pPr>
      <w:r>
        <w:rPr>
          <w:rFonts w:ascii="Arial" w:hAnsi="Arial" w:cs="Arial"/>
          <w:b/>
          <w:color w:val="000000" w:themeColor="text1"/>
          <w:sz w:val="24"/>
          <w:szCs w:val="24"/>
        </w:rPr>
        <w:t xml:space="preserve">VA National Veterans Sports Programs &amp; Special Events </w:t>
      </w:r>
    </w:p>
    <w:p w:rsidR="00AF0C2B" w:rsidRDefault="00710FBA" w:rsidP="00AF0C2B">
      <w:pPr>
        <w:pStyle w:val="PlainText"/>
        <w:jc w:val="center"/>
        <w:rPr>
          <w:rFonts w:ascii="Arial" w:hAnsi="Arial" w:cs="Arial"/>
          <w:b/>
          <w:color w:val="000000" w:themeColor="text1"/>
          <w:sz w:val="24"/>
          <w:szCs w:val="24"/>
        </w:rPr>
      </w:pPr>
    </w:p>
    <w:p w:rsidR="00AF0C2B" w:rsidRDefault="00CA65A2" w:rsidP="00AF0C2B">
      <w:pPr>
        <w:pStyle w:val="PlainText"/>
        <w:jc w:val="center"/>
        <w:rPr>
          <w:rFonts w:ascii="Arial" w:hAnsi="Arial" w:cs="Arial"/>
          <w:b/>
          <w:color w:val="0070C0"/>
          <w:sz w:val="24"/>
          <w:szCs w:val="24"/>
        </w:rPr>
      </w:pPr>
      <w:r>
        <w:rPr>
          <w:rFonts w:ascii="Arial" w:hAnsi="Arial" w:cs="Arial"/>
          <w:b/>
          <w:color w:val="000000" w:themeColor="text1"/>
          <w:sz w:val="24"/>
          <w:szCs w:val="24"/>
        </w:rPr>
        <w:t xml:space="preserve">Online Registration National Veterans Golden Age Games </w:t>
      </w:r>
    </w:p>
    <w:p w:rsidR="00AF0C2B" w:rsidRDefault="00710FBA" w:rsidP="00AF0C2B">
      <w:pPr>
        <w:pStyle w:val="PlainText"/>
        <w:jc w:val="center"/>
        <w:rPr>
          <w:rFonts w:ascii="Arial" w:hAnsi="Arial" w:cs="Arial"/>
          <w:b/>
          <w:color w:val="0070C0"/>
          <w:sz w:val="24"/>
          <w:szCs w:val="24"/>
        </w:rPr>
      </w:pPr>
    </w:p>
    <w:p w:rsidR="00AF0C2B" w:rsidRDefault="00710FBA" w:rsidP="00AF0C2B">
      <w:pPr>
        <w:rPr>
          <w:rFonts w:cs="Arial"/>
        </w:rPr>
      </w:pPr>
    </w:p>
    <w:p w:rsidR="00AF0C2B" w:rsidRDefault="00CA65A2" w:rsidP="00AF0C2B">
      <w:pPr>
        <w:pStyle w:val="Title"/>
        <w:rPr>
          <w:rFonts w:ascii="Arial" w:hAnsi="Arial" w:cs="Arial"/>
        </w:rPr>
      </w:pPr>
      <w:r>
        <w:rPr>
          <w:rFonts w:ascii="Arial" w:hAnsi="Arial" w:cs="Arial"/>
        </w:rPr>
        <w:t>Contents</w:t>
      </w:r>
    </w:p>
    <w:p w:rsidR="00AF0C2B" w:rsidRDefault="00CA65A2" w:rsidP="00AF0C2B">
      <w:pPr>
        <w:pStyle w:val="TOC1"/>
        <w:tabs>
          <w:tab w:val="left" w:pos="720"/>
          <w:tab w:val="right" w:leader="dot" w:pos="10790"/>
        </w:tabs>
        <w:rPr>
          <w:b w:val="0"/>
          <w:bCs w:val="0"/>
          <w:noProof/>
        </w:rPr>
      </w:pPr>
      <w:r>
        <w:rPr>
          <w:rFonts w:cs="Arial"/>
        </w:rPr>
        <w:fldChar w:fldCharType="begin"/>
      </w:r>
      <w:r>
        <w:rPr>
          <w:rFonts w:cs="Arial"/>
        </w:rPr>
        <w:instrText xml:space="preserve"> TOC \o "1-3" \h \z \u </w:instrText>
      </w:r>
      <w:r>
        <w:rPr>
          <w:rFonts w:cs="Arial"/>
        </w:rPr>
        <w:fldChar w:fldCharType="separate"/>
      </w:r>
      <w:hyperlink r:id="rId9" w:anchor="_Toc382924045" w:history="1">
        <w:r>
          <w:rPr>
            <w:rStyle w:val="Hyperlink"/>
            <w:rFonts w:cs="Arial"/>
            <w:noProof/>
          </w:rPr>
          <w:t>1.0</w:t>
        </w:r>
        <w:r>
          <w:rPr>
            <w:rStyle w:val="Hyperlink"/>
            <w:rFonts w:asciiTheme="minorHAnsi" w:hAnsiTheme="minorHAnsi" w:cstheme="minorBidi"/>
            <w:b w:val="0"/>
            <w:bCs w:val="0"/>
            <w:noProof/>
            <w:color w:val="auto"/>
            <w:sz w:val="22"/>
          </w:rPr>
          <w:tab/>
        </w:r>
        <w:r>
          <w:rPr>
            <w:rStyle w:val="Hyperlink"/>
            <w:noProof/>
          </w:rPr>
          <w:t>DESCRIPTION OF SERVICES</w:t>
        </w:r>
        <w:r>
          <w:rPr>
            <w:rStyle w:val="Hyperlink"/>
            <w:rFonts w:asciiTheme="minorHAnsi" w:hAnsiTheme="minorHAnsi" w:cstheme="minorBidi"/>
            <w:noProof/>
            <w:webHidden/>
            <w:color w:val="auto"/>
            <w:sz w:val="22"/>
          </w:rPr>
          <w:tab/>
        </w:r>
        <w:r>
          <w:rPr>
            <w:rStyle w:val="Hyperlink"/>
            <w:rFonts w:asciiTheme="minorHAnsi" w:hAnsiTheme="minorHAnsi" w:cstheme="minorBidi"/>
            <w:noProof/>
            <w:webHidden/>
            <w:color w:val="auto"/>
            <w:sz w:val="22"/>
          </w:rPr>
          <w:fldChar w:fldCharType="begin"/>
        </w:r>
        <w:r>
          <w:rPr>
            <w:rStyle w:val="Hyperlink"/>
            <w:rFonts w:asciiTheme="minorHAnsi" w:hAnsiTheme="minorHAnsi" w:cstheme="minorBidi"/>
            <w:noProof/>
            <w:webHidden/>
            <w:color w:val="auto"/>
            <w:sz w:val="22"/>
          </w:rPr>
          <w:instrText xml:space="preserve"> PAGEREF _Toc382924045 \h </w:instrText>
        </w:r>
        <w:r>
          <w:rPr>
            <w:rStyle w:val="Hyperlink"/>
            <w:rFonts w:asciiTheme="minorHAnsi" w:hAnsiTheme="minorHAnsi" w:cstheme="minorBidi"/>
            <w:noProof/>
            <w:webHidden/>
            <w:color w:val="auto"/>
            <w:sz w:val="22"/>
          </w:rPr>
        </w:r>
        <w:r>
          <w:rPr>
            <w:rStyle w:val="Hyperlink"/>
            <w:rFonts w:asciiTheme="minorHAnsi" w:hAnsiTheme="minorHAnsi" w:cstheme="minorBidi"/>
            <w:noProof/>
            <w:webHidden/>
            <w:color w:val="auto"/>
            <w:sz w:val="22"/>
          </w:rPr>
          <w:fldChar w:fldCharType="separate"/>
        </w:r>
        <w:r>
          <w:rPr>
            <w:rStyle w:val="Hyperlink"/>
            <w:rFonts w:asciiTheme="minorHAnsi" w:hAnsiTheme="minorHAnsi" w:cstheme="minorBidi"/>
            <w:noProof/>
            <w:webHidden/>
            <w:color w:val="auto"/>
            <w:sz w:val="22"/>
          </w:rPr>
          <w:t>4</w:t>
        </w:r>
        <w:r>
          <w:rPr>
            <w:rStyle w:val="Hyperlink"/>
            <w:rFonts w:asciiTheme="minorHAnsi" w:hAnsiTheme="minorHAnsi" w:cstheme="minorBidi"/>
            <w:noProof/>
            <w:webHidden/>
            <w:color w:val="auto"/>
            <w:sz w:val="22"/>
          </w:rPr>
          <w:fldChar w:fldCharType="end"/>
        </w:r>
      </w:hyperlink>
    </w:p>
    <w:p w:rsidR="00AF0C2B" w:rsidRDefault="00710FBA" w:rsidP="00AF0C2B">
      <w:pPr>
        <w:pStyle w:val="TOC1"/>
        <w:tabs>
          <w:tab w:val="left" w:pos="720"/>
          <w:tab w:val="right" w:leader="dot" w:pos="10790"/>
        </w:tabs>
        <w:rPr>
          <w:b w:val="0"/>
          <w:bCs w:val="0"/>
          <w:noProof/>
        </w:rPr>
      </w:pPr>
      <w:hyperlink r:id="rId10" w:anchor="_Toc382924046" w:history="1">
        <w:r w:rsidR="00CA65A2">
          <w:rPr>
            <w:rStyle w:val="Hyperlink"/>
            <w:rFonts w:cs="Arial"/>
            <w:noProof/>
          </w:rPr>
          <w:t>2.0</w:t>
        </w:r>
        <w:r w:rsidR="00CA65A2">
          <w:rPr>
            <w:rStyle w:val="Hyperlink"/>
            <w:rFonts w:asciiTheme="minorHAnsi" w:hAnsiTheme="minorHAnsi" w:cstheme="minorBidi"/>
            <w:b w:val="0"/>
            <w:bCs w:val="0"/>
            <w:noProof/>
            <w:color w:val="auto"/>
            <w:sz w:val="22"/>
          </w:rPr>
          <w:tab/>
        </w:r>
        <w:r w:rsidR="00CA65A2">
          <w:rPr>
            <w:rStyle w:val="Hyperlink"/>
            <w:noProof/>
          </w:rPr>
          <w:t>PERFORMANCE DETAILS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_Toc382924046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4</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1" w:anchor="_Toc382924047" w:history="1">
        <w:r w:rsidR="00CA65A2">
          <w:rPr>
            <w:rStyle w:val="Hyperlink"/>
            <w:rFonts w:cs="Arial"/>
            <w:noProof/>
          </w:rPr>
          <w:t>2.1</w:t>
        </w:r>
        <w:r w:rsidR="00CA65A2">
          <w:rPr>
            <w:rStyle w:val="Hyperlink"/>
            <w:rFonts w:asciiTheme="minorHAnsi" w:hAnsiTheme="minorHAnsi" w:cstheme="minorBidi"/>
            <w:noProof/>
            <w:color w:val="auto"/>
            <w:sz w:val="22"/>
          </w:rPr>
          <w:tab/>
        </w:r>
        <w:r w:rsidR="00CA65A2">
          <w:rPr>
            <w:rStyle w:val="Hyperlink"/>
            <w:noProof/>
          </w:rPr>
          <w:t>PERFORMANCE PERIOD</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_Toc382924047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4</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2" w:anchor="_Toc382924048" w:history="1">
        <w:r w:rsidR="00CA65A2">
          <w:rPr>
            <w:rStyle w:val="Hyperlink"/>
            <w:rFonts w:cs="Arial"/>
            <w:noProof/>
          </w:rPr>
          <w:t>2.2</w:t>
        </w:r>
        <w:r w:rsidR="00CA65A2">
          <w:rPr>
            <w:rStyle w:val="Hyperlink"/>
            <w:rFonts w:asciiTheme="minorHAnsi" w:hAnsiTheme="minorHAnsi" w:cstheme="minorBidi"/>
            <w:noProof/>
            <w:color w:val="auto"/>
            <w:sz w:val="22"/>
          </w:rPr>
          <w:tab/>
        </w:r>
        <w:r w:rsidR="00CA65A2">
          <w:rPr>
            <w:rStyle w:val="Hyperlink"/>
            <w:noProof/>
          </w:rPr>
          <w:t>PLACE OF PERFORMANCE</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_Toc382924048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4</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3" w:anchor="_Toc382924049" w:history="1">
        <w:r w:rsidR="00CA65A2">
          <w:rPr>
            <w:rStyle w:val="Hyperlink"/>
            <w:rFonts w:cs="Arial"/>
            <w:noProof/>
          </w:rPr>
          <w:t>2.3</w:t>
        </w:r>
        <w:r w:rsidR="00CA65A2">
          <w:rPr>
            <w:rStyle w:val="Hyperlink"/>
            <w:rFonts w:asciiTheme="minorHAnsi" w:hAnsiTheme="minorHAnsi" w:cstheme="minorBidi"/>
            <w:noProof/>
            <w:color w:val="auto"/>
            <w:sz w:val="22"/>
          </w:rPr>
          <w:tab/>
        </w:r>
        <w:r w:rsidR="00CA65A2">
          <w:rPr>
            <w:rStyle w:val="Hyperlink"/>
            <w:noProof/>
          </w:rPr>
          <w:t>REPORTING REQUIREMENTS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_Toc382924049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5</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1"/>
        <w:tabs>
          <w:tab w:val="left" w:pos="720"/>
          <w:tab w:val="right" w:leader="dot" w:pos="10790"/>
        </w:tabs>
        <w:rPr>
          <w:b w:val="0"/>
          <w:bCs w:val="0"/>
          <w:noProof/>
        </w:rPr>
      </w:pPr>
      <w:hyperlink r:id="rId14" w:anchor="_Toc382924050" w:history="1">
        <w:r w:rsidR="00CA65A2">
          <w:rPr>
            <w:rStyle w:val="Hyperlink"/>
            <w:rFonts w:cs="Arial"/>
            <w:noProof/>
          </w:rPr>
          <w:t>3.0</w:t>
        </w:r>
        <w:r w:rsidR="00CA65A2">
          <w:rPr>
            <w:rStyle w:val="Hyperlink"/>
            <w:rFonts w:asciiTheme="minorHAnsi" w:hAnsiTheme="minorHAnsi" w:cstheme="minorBidi"/>
            <w:b w:val="0"/>
            <w:bCs w:val="0"/>
            <w:noProof/>
            <w:color w:val="auto"/>
            <w:sz w:val="22"/>
          </w:rPr>
          <w:tab/>
        </w:r>
        <w:r w:rsidR="00CA65A2">
          <w:rPr>
            <w:rStyle w:val="Hyperlink"/>
            <w:noProof/>
          </w:rPr>
          <w:t>GENERAL REQUIREMENTS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_Toc382924050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6</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5" w:anchor="_Toc382924051" w:history="1">
        <w:r w:rsidR="00CA65A2">
          <w:rPr>
            <w:rStyle w:val="Hyperlink"/>
            <w:rFonts w:cs="Arial"/>
            <w:noProof/>
          </w:rPr>
          <w:t>3.1</w:t>
        </w:r>
        <w:r w:rsidR="00CA65A2">
          <w:rPr>
            <w:rStyle w:val="Hyperlink"/>
            <w:rFonts w:asciiTheme="minorHAnsi" w:hAnsiTheme="minorHAnsi" w:cstheme="minorBidi"/>
            <w:noProof/>
            <w:color w:val="auto"/>
            <w:sz w:val="22"/>
          </w:rPr>
          <w:tab/>
        </w:r>
        <w:r w:rsidR="00CA65A2">
          <w:rPr>
            <w:rStyle w:val="Hyperlink"/>
            <w:noProof/>
          </w:rPr>
          <w:t>ENTERPRISE AND IT FRAMEWORK</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_Toc382924051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6</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6" w:anchor="_Toc382924052" w:history="1">
        <w:r w:rsidR="00CA65A2">
          <w:rPr>
            <w:rStyle w:val="Hyperlink"/>
            <w:rFonts w:cs="Arial"/>
            <w:noProof/>
          </w:rPr>
          <w:t>3.2</w:t>
        </w:r>
        <w:r w:rsidR="00CA65A2">
          <w:rPr>
            <w:rStyle w:val="Hyperlink"/>
            <w:rFonts w:asciiTheme="minorHAnsi" w:hAnsiTheme="minorHAnsi" w:cstheme="minorBidi"/>
            <w:noProof/>
            <w:color w:val="auto"/>
            <w:sz w:val="22"/>
          </w:rPr>
          <w:tab/>
        </w:r>
        <w:r w:rsidR="00CA65A2">
          <w:rPr>
            <w:rStyle w:val="Hyperlink"/>
            <w:noProof/>
          </w:rPr>
          <w:t>CONTRACTOR PERSONNEL SECURITY REQUIREMENTS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_Toc382924052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7</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7" w:anchor="_Toc382924053" w:history="1">
        <w:r w:rsidR="00CA65A2">
          <w:rPr>
            <w:rStyle w:val="Hyperlink"/>
            <w:rFonts w:cs="Arial"/>
            <w:noProof/>
          </w:rPr>
          <w:t>3.3</w:t>
        </w:r>
        <w:r w:rsidR="00CA65A2">
          <w:rPr>
            <w:rStyle w:val="Hyperlink"/>
            <w:rFonts w:asciiTheme="minorHAnsi" w:hAnsiTheme="minorHAnsi" w:cstheme="minorBidi"/>
            <w:noProof/>
            <w:color w:val="auto"/>
            <w:sz w:val="22"/>
          </w:rPr>
          <w:tab/>
        </w:r>
        <w:r w:rsidR="00CA65A2">
          <w:rPr>
            <w:rStyle w:val="Hyperlink"/>
            <w:noProof/>
          </w:rPr>
          <w:t>METHOD AND DISTRIBUTION OF DELIVERABLES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_Toc382924053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8</w:t>
        </w:r>
        <w:r w:rsidR="00CA65A2">
          <w:rPr>
            <w:rStyle w:val="Hyperlink"/>
            <w:rFonts w:asciiTheme="minorHAnsi" w:hAnsiTheme="minorHAnsi" w:cstheme="minorBidi"/>
            <w:noProof/>
            <w:webHidden/>
            <w:color w:val="auto"/>
            <w:sz w:val="22"/>
          </w:rPr>
          <w:fldChar w:fldCharType="end"/>
        </w:r>
      </w:hyperlink>
    </w:p>
    <w:p w:rsidR="00AF0C2B" w:rsidRDefault="00710FBA" w:rsidP="00AF0C2B">
      <w:pPr>
        <w:pStyle w:val="TOC2"/>
        <w:tabs>
          <w:tab w:val="left" w:pos="1320"/>
          <w:tab w:val="right" w:leader="dot" w:pos="10790"/>
        </w:tabs>
        <w:rPr>
          <w:noProof/>
        </w:rPr>
      </w:pPr>
      <w:hyperlink r:id="rId18" w:anchor="_Toc382924054" w:history="1">
        <w:r w:rsidR="00CA65A2">
          <w:rPr>
            <w:rStyle w:val="Hyperlink"/>
            <w:rFonts w:cs="Arial"/>
            <w:noProof/>
          </w:rPr>
          <w:t>3.4</w:t>
        </w:r>
        <w:r w:rsidR="00CA65A2">
          <w:rPr>
            <w:rStyle w:val="Hyperlink"/>
            <w:rFonts w:asciiTheme="minorHAnsi" w:hAnsiTheme="minorHAnsi" w:cstheme="minorBidi"/>
            <w:noProof/>
            <w:color w:val="auto"/>
            <w:sz w:val="22"/>
          </w:rPr>
          <w:tab/>
        </w:r>
        <w:r w:rsidR="00CA65A2">
          <w:rPr>
            <w:rStyle w:val="Hyperlink"/>
            <w:noProof/>
          </w:rPr>
          <w:t>FACILITY/RESOURCE PROVISIONS</w:t>
        </w:r>
        <w:r w:rsidR="00CA65A2">
          <w:rPr>
            <w:rStyle w:val="Hyperlink"/>
            <w:rFonts w:asciiTheme="minorHAnsi" w:hAnsiTheme="minorHAnsi" w:cstheme="minorBidi"/>
            <w:noProof/>
            <w:webHidden/>
            <w:color w:val="auto"/>
            <w:sz w:val="22"/>
          </w:rPr>
          <w:tab/>
        </w:r>
        <w:r w:rsidR="00CA65A2">
          <w:rPr>
            <w:rStyle w:val="Hyperlink"/>
            <w:rFonts w:asciiTheme="minorHAnsi" w:hAnsiTheme="minorHAnsi" w:cstheme="minorBidi"/>
            <w:noProof/>
            <w:webHidden/>
            <w:color w:val="auto"/>
            <w:sz w:val="22"/>
          </w:rPr>
          <w:fldChar w:fldCharType="begin"/>
        </w:r>
        <w:r w:rsidR="00CA65A2">
          <w:rPr>
            <w:rStyle w:val="Hyperlink"/>
            <w:rFonts w:asciiTheme="minorHAnsi" w:hAnsiTheme="minorHAnsi" w:cstheme="minorBidi"/>
            <w:noProof/>
            <w:webHidden/>
            <w:color w:val="auto"/>
            <w:sz w:val="22"/>
          </w:rPr>
          <w:instrText xml:space="preserve"> PAGEREF _Toc382924054 \h </w:instrText>
        </w:r>
        <w:r w:rsidR="00CA65A2">
          <w:rPr>
            <w:rStyle w:val="Hyperlink"/>
            <w:rFonts w:asciiTheme="minorHAnsi" w:hAnsiTheme="minorHAnsi" w:cstheme="minorBidi"/>
            <w:noProof/>
            <w:webHidden/>
            <w:color w:val="auto"/>
            <w:sz w:val="22"/>
          </w:rPr>
        </w:r>
        <w:r w:rsidR="00CA65A2">
          <w:rPr>
            <w:rStyle w:val="Hyperlink"/>
            <w:rFonts w:asciiTheme="minorHAnsi" w:hAnsiTheme="minorHAnsi" w:cstheme="minorBidi"/>
            <w:noProof/>
            <w:webHidden/>
            <w:color w:val="auto"/>
            <w:sz w:val="22"/>
          </w:rPr>
          <w:fldChar w:fldCharType="separate"/>
        </w:r>
        <w:r w:rsidR="00CA65A2">
          <w:rPr>
            <w:rStyle w:val="Hyperlink"/>
            <w:rFonts w:asciiTheme="minorHAnsi" w:hAnsiTheme="minorHAnsi" w:cstheme="minorBidi"/>
            <w:noProof/>
            <w:webHidden/>
            <w:color w:val="auto"/>
            <w:sz w:val="22"/>
          </w:rPr>
          <w:t>8</w:t>
        </w:r>
        <w:r w:rsidR="00CA65A2">
          <w:rPr>
            <w:rStyle w:val="Hyperlink"/>
            <w:rFonts w:asciiTheme="minorHAnsi" w:hAnsiTheme="minorHAnsi" w:cstheme="minorBidi"/>
            <w:noProof/>
            <w:webHidden/>
            <w:color w:val="auto"/>
            <w:sz w:val="22"/>
          </w:rPr>
          <w:fldChar w:fldCharType="end"/>
        </w:r>
      </w:hyperlink>
    </w:p>
    <w:p w:rsidR="00AF0C2B" w:rsidRDefault="00CA65A2" w:rsidP="00AF0C2B">
      <w:r>
        <w:rPr>
          <w:rFonts w:cs="Arial"/>
        </w:rPr>
        <w:fldChar w:fldCharType="end"/>
      </w:r>
    </w:p>
    <w:p w:rsidR="00AF0C2B" w:rsidRDefault="00CA65A2" w:rsidP="00AF0C2B">
      <w:r>
        <w:t xml:space="preserve"> </w:t>
      </w:r>
      <w:r>
        <w:br w:type="page"/>
      </w:r>
    </w:p>
    <w:p w:rsidR="00AF0C2B" w:rsidRDefault="00CA65A2" w:rsidP="00AF0C2B">
      <w:pPr>
        <w:pStyle w:val="Heading1"/>
        <w:numPr>
          <w:ilvl w:val="0"/>
          <w:numId w:val="1"/>
        </w:numPr>
      </w:pPr>
      <w:bookmarkStart w:id="1" w:name="_Toc382924045"/>
      <w:r>
        <w:lastRenderedPageBreak/>
        <w:t>DESCRIPTION OF SERVICES</w:t>
      </w:r>
      <w:bookmarkEnd w:id="1"/>
    </w:p>
    <w:p w:rsidR="00AF0C2B" w:rsidRDefault="00710FBA" w:rsidP="00AF0C2B">
      <w:pPr>
        <w:rPr>
          <w:rFonts w:cs="Arial"/>
        </w:rPr>
      </w:pPr>
    </w:p>
    <w:p w:rsidR="00AF0C2B" w:rsidRDefault="00CA65A2" w:rsidP="00AF0C2B">
      <w:pPr>
        <w:ind w:left="360"/>
        <w:rPr>
          <w:rFonts w:cs="Arial"/>
          <w:color w:val="000000" w:themeColor="text1"/>
        </w:rPr>
      </w:pPr>
      <w:bookmarkStart w:id="2" w:name="_Ref252976836"/>
      <w:bookmarkStart w:id="3" w:name="_Ref252976827"/>
      <w:r>
        <w:rPr>
          <w:rFonts w:cs="Arial"/>
          <w:color w:val="000000" w:themeColor="text1"/>
        </w:rPr>
        <w:t xml:space="preserve">Implement online </w:t>
      </w:r>
      <w:proofErr w:type="spellStart"/>
      <w:r>
        <w:rPr>
          <w:rFonts w:cs="Arial"/>
          <w:color w:val="000000" w:themeColor="text1"/>
        </w:rPr>
        <w:t>muliti</w:t>
      </w:r>
      <w:proofErr w:type="spellEnd"/>
      <w:r>
        <w:rPr>
          <w:rFonts w:cs="Arial"/>
          <w:color w:val="000000" w:themeColor="text1"/>
        </w:rPr>
        <w:t xml:space="preserve">-event event registration and automation of </w:t>
      </w:r>
      <w:proofErr w:type="gramStart"/>
      <w:r>
        <w:rPr>
          <w:rFonts w:cs="Arial"/>
          <w:color w:val="000000" w:themeColor="text1"/>
        </w:rPr>
        <w:t>events  for</w:t>
      </w:r>
      <w:proofErr w:type="gramEnd"/>
      <w:r>
        <w:rPr>
          <w:rFonts w:cs="Arial"/>
          <w:color w:val="000000" w:themeColor="text1"/>
        </w:rPr>
        <w:t xml:space="preserve"> Veterans attending the 2014 National Veterans Golden Age Games (NVGAG) to be held in Fayetteville, AR, June 28- July 3, 2014.  </w:t>
      </w:r>
    </w:p>
    <w:p w:rsidR="00AF0C2B" w:rsidRDefault="00CA65A2" w:rsidP="00AF0C2B">
      <w:pPr>
        <w:pStyle w:val="Heading1"/>
        <w:numPr>
          <w:ilvl w:val="0"/>
          <w:numId w:val="1"/>
        </w:numPr>
      </w:pPr>
      <w:bookmarkStart w:id="4" w:name="_Toc382924046"/>
      <w:bookmarkStart w:id="5" w:name="_Ref252782791"/>
      <w:bookmarkStart w:id="6" w:name="_Ref252782779"/>
      <w:bookmarkStart w:id="7" w:name="_Toc251331940"/>
      <w:bookmarkStart w:id="8" w:name="_Toc6902885"/>
      <w:bookmarkEnd w:id="2"/>
      <w:bookmarkEnd w:id="3"/>
      <w:r>
        <w:t>PERFORMANCE DETAILS</w:t>
      </w:r>
      <w:bookmarkEnd w:id="4"/>
    </w:p>
    <w:p w:rsidR="00AF0C2B" w:rsidRDefault="00CA65A2" w:rsidP="00AF0C2B">
      <w:pPr>
        <w:pStyle w:val="Heading2"/>
        <w:numPr>
          <w:ilvl w:val="1"/>
          <w:numId w:val="1"/>
        </w:numPr>
      </w:pPr>
      <w:bookmarkStart w:id="9" w:name="_Toc382924047"/>
      <w:bookmarkStart w:id="10" w:name="_Ref252977053"/>
      <w:r>
        <w:t>PERFORMANCE PERIOD</w:t>
      </w:r>
      <w:bookmarkEnd w:id="5"/>
      <w:bookmarkEnd w:id="6"/>
      <w:bookmarkEnd w:id="7"/>
      <w:bookmarkEnd w:id="9"/>
      <w:bookmarkEnd w:id="10"/>
    </w:p>
    <w:p w:rsidR="00AF0C2B" w:rsidRDefault="00710FBA" w:rsidP="00AF0C2B">
      <w:pPr>
        <w:ind w:left="720"/>
      </w:pPr>
    </w:p>
    <w:p w:rsidR="00AF0C2B" w:rsidRDefault="00CA65A2" w:rsidP="00AF0C2B">
      <w:pPr>
        <w:rPr>
          <w:i/>
          <w:color w:val="000000" w:themeColor="text1"/>
        </w:rPr>
      </w:pPr>
      <w:r>
        <w:rPr>
          <w:color w:val="000000" w:themeColor="text1"/>
        </w:rPr>
        <w:t>The period of performance shall be</w:t>
      </w:r>
      <w:r>
        <w:rPr>
          <w:i/>
          <w:color w:val="000000" w:themeColor="text1"/>
        </w:rPr>
        <w:t xml:space="preserve"> </w:t>
      </w:r>
      <w:r>
        <w:rPr>
          <w:color w:val="000000" w:themeColor="text1"/>
        </w:rPr>
        <w:t>a</w:t>
      </w:r>
      <w:r>
        <w:rPr>
          <w:i/>
          <w:color w:val="000000" w:themeColor="text1"/>
        </w:rPr>
        <w:t xml:space="preserve"> </w:t>
      </w:r>
      <w:r>
        <w:rPr>
          <w:rFonts w:cs="Arial"/>
          <w:color w:val="000000" w:themeColor="text1"/>
        </w:rPr>
        <w:t xml:space="preserve">one-year firm-fixed price (FFP) effort for online  multi- sport registration system for Veterans participating in the National Veterans Golden Age Games  The action includes a base year with three option years, beginning from the date of contract award. </w:t>
      </w:r>
    </w:p>
    <w:p w:rsidR="00AF0C2B" w:rsidRDefault="00710FBA" w:rsidP="00AF0C2B">
      <w:pPr>
        <w:rPr>
          <w:rFonts w:cs="Arial"/>
          <w:b/>
          <w:color w:val="4F81BD" w:themeColor="accent1"/>
        </w:rPr>
      </w:pPr>
    </w:p>
    <w:p w:rsidR="00AF0C2B" w:rsidRDefault="00710FBA" w:rsidP="00AF0C2B">
      <w:pPr>
        <w:rPr>
          <w:rFonts w:cs="Arial"/>
          <w:color w:val="000000"/>
        </w:rPr>
      </w:pPr>
    </w:p>
    <w:p w:rsidR="00AF0C2B" w:rsidRDefault="00CA65A2" w:rsidP="00AF0C2B">
      <w:pPr>
        <w:pStyle w:val="Heading2"/>
        <w:numPr>
          <w:ilvl w:val="1"/>
          <w:numId w:val="1"/>
        </w:numPr>
        <w:rPr>
          <w:color w:val="000000" w:themeColor="text1"/>
        </w:rPr>
      </w:pPr>
      <w:bookmarkStart w:id="11" w:name="_Toc382924048"/>
      <w:bookmarkStart w:id="12" w:name="_Ref252782820"/>
      <w:bookmarkStart w:id="13" w:name="_Ref252782809"/>
      <w:bookmarkStart w:id="14" w:name="_Toc251331941"/>
      <w:r>
        <w:rPr>
          <w:color w:val="000000" w:themeColor="text1"/>
        </w:rPr>
        <w:t>PLACE OF PERFORMANCE</w:t>
      </w:r>
      <w:bookmarkEnd w:id="11"/>
      <w:bookmarkEnd w:id="12"/>
      <w:bookmarkEnd w:id="13"/>
      <w:bookmarkEnd w:id="14"/>
    </w:p>
    <w:p w:rsidR="00AF0C2B" w:rsidRDefault="00710FBA" w:rsidP="00AF0C2B">
      <w:pPr>
        <w:rPr>
          <w:rStyle w:val="Emphasis"/>
          <w:rFonts w:asciiTheme="minorHAnsi" w:hAnsiTheme="minorHAnsi" w:cs="Arial"/>
          <w:color w:val="000000" w:themeColor="text1"/>
        </w:rPr>
      </w:pPr>
    </w:p>
    <w:p w:rsidR="00AF0C2B" w:rsidRDefault="00CA65A2" w:rsidP="00AF0C2B">
      <w:pPr>
        <w:rPr>
          <w:rStyle w:val="Emphasis"/>
          <w:rFonts w:asciiTheme="minorHAnsi" w:hAnsiTheme="minorHAnsi" w:cs="Arial"/>
          <w:color w:val="000000" w:themeColor="text1"/>
        </w:rPr>
      </w:pPr>
      <w:r>
        <w:rPr>
          <w:rStyle w:val="Emphasis"/>
          <w:rFonts w:asciiTheme="minorHAnsi" w:hAnsiTheme="minorHAnsi" w:cs="Arial"/>
          <w:color w:val="000000" w:themeColor="text1"/>
        </w:rPr>
        <w:t xml:space="preserve">Tasks under this PWS shall be performed at Contractor facilities. </w:t>
      </w:r>
    </w:p>
    <w:p w:rsidR="00AF0C2B" w:rsidRDefault="00710FBA" w:rsidP="00AF0C2B">
      <w:pPr>
        <w:rPr>
          <w:rStyle w:val="Emphasis"/>
          <w:rFonts w:asciiTheme="minorHAnsi" w:hAnsiTheme="minorHAnsi" w:cs="Arial"/>
          <w:color w:val="000000" w:themeColor="text1"/>
        </w:rPr>
      </w:pPr>
    </w:p>
    <w:p w:rsidR="00AF0C2B" w:rsidRDefault="00CA65A2" w:rsidP="00AF0C2B">
      <w:pPr>
        <w:rPr>
          <w:caps/>
        </w:rPr>
      </w:pPr>
      <w:r>
        <w:rPr>
          <w:rStyle w:val="Emphasis"/>
          <w:rFonts w:asciiTheme="minorHAnsi" w:hAnsiTheme="minorHAnsi" w:cs="Arial"/>
          <w:color w:val="000000" w:themeColor="text1"/>
        </w:rPr>
        <w:t xml:space="preserve"> </w:t>
      </w:r>
      <w:bookmarkStart w:id="15" w:name="_Ref254625493"/>
      <w:bookmarkStart w:id="16" w:name="_Ref254597160"/>
      <w:bookmarkStart w:id="17" w:name="_Ref252783161"/>
      <w:bookmarkStart w:id="18" w:name="_Ref252783063"/>
      <w:bookmarkStart w:id="19" w:name="_Ref252783012"/>
      <w:bookmarkStart w:id="20" w:name="_Ref252783006"/>
      <w:bookmarkStart w:id="21" w:name="_Toc251331945"/>
      <w:r>
        <w:rPr>
          <w:caps/>
          <w:color w:val="000000" w:themeColor="text1"/>
        </w:rPr>
        <w:t>SPECIFIC TASKS AND DELIVERABLES</w:t>
      </w:r>
      <w:bookmarkEnd w:id="15"/>
      <w:bookmarkEnd w:id="16"/>
      <w:bookmarkEnd w:id="17"/>
      <w:bookmarkEnd w:id="18"/>
      <w:bookmarkEnd w:id="19"/>
      <w:bookmarkEnd w:id="20"/>
      <w:bookmarkEnd w:id="21"/>
    </w:p>
    <w:p w:rsidR="00AF0C2B" w:rsidRDefault="00CA65A2" w:rsidP="00AF0C2B">
      <w:pPr>
        <w:rPr>
          <w:rStyle w:val="Emphasis"/>
          <w:rFonts w:asciiTheme="minorHAnsi" w:hAnsiTheme="minorHAnsi" w:cs="Arial"/>
          <w:color w:val="000000" w:themeColor="text1"/>
        </w:rPr>
      </w:pPr>
      <w:r>
        <w:rPr>
          <w:rFonts w:cs="Arial"/>
          <w:color w:val="000000" w:themeColor="text1"/>
        </w:rPr>
        <w:t>The Contractor shall perform the following:</w:t>
      </w:r>
      <w:r>
        <w:rPr>
          <w:rStyle w:val="Emphasis"/>
          <w:rFonts w:asciiTheme="minorHAnsi" w:hAnsiTheme="minorHAnsi" w:cs="Arial"/>
          <w:color w:val="000000" w:themeColor="text1"/>
        </w:rPr>
        <w:t xml:space="preserve"> </w:t>
      </w:r>
    </w:p>
    <w:p w:rsidR="00AF0C2B" w:rsidRDefault="00CA65A2" w:rsidP="00AF0C2B">
      <w:pPr>
        <w:numPr>
          <w:ilvl w:val="0"/>
          <w:numId w:val="2"/>
        </w:numPr>
      </w:pPr>
      <w:r>
        <w:rPr>
          <w:rStyle w:val="Emphasis"/>
          <w:rFonts w:asciiTheme="minorHAnsi" w:hAnsiTheme="minorHAnsi" w:cs="Arial"/>
          <w:color w:val="000000" w:themeColor="text1"/>
        </w:rPr>
        <w:t xml:space="preserve"> </w:t>
      </w:r>
      <w:r>
        <w:rPr>
          <w:rFonts w:cs="Arial"/>
          <w:b/>
          <w:i/>
          <w:iCs/>
          <w:color w:val="000000" w:themeColor="text1"/>
        </w:rPr>
        <w:t>Secure online registration via (web) internet (Online and/or Paper) for participants, coaches accessible 24 hrs. a day  1000 +</w:t>
      </w:r>
    </w:p>
    <w:p w:rsidR="00AF0C2B" w:rsidRDefault="00CA65A2" w:rsidP="00AF0C2B">
      <w:pPr>
        <w:numPr>
          <w:ilvl w:val="0"/>
          <w:numId w:val="2"/>
        </w:numPr>
        <w:rPr>
          <w:rFonts w:cs="Arial"/>
          <w:b/>
          <w:i/>
          <w:iCs/>
          <w:color w:val="000000" w:themeColor="text1"/>
        </w:rPr>
      </w:pPr>
      <w:r>
        <w:rPr>
          <w:rFonts w:cs="Arial"/>
          <w:b/>
          <w:i/>
          <w:iCs/>
          <w:color w:val="000000" w:themeColor="text1"/>
        </w:rPr>
        <w:t> Multi –user access for administration</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508 compliant </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Creation of unique athlete numbers and credentials/ID </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Creation id individualized schedules </w:t>
      </w:r>
    </w:p>
    <w:p w:rsidR="00AF0C2B" w:rsidRDefault="00CA65A2" w:rsidP="00AF0C2B">
      <w:pPr>
        <w:numPr>
          <w:ilvl w:val="0"/>
          <w:numId w:val="2"/>
        </w:numPr>
        <w:rPr>
          <w:rFonts w:cs="Arial"/>
          <w:b/>
          <w:i/>
          <w:iCs/>
          <w:color w:val="000000" w:themeColor="text1"/>
        </w:rPr>
      </w:pPr>
      <w:r>
        <w:rPr>
          <w:rFonts w:cs="Arial"/>
          <w:b/>
          <w:i/>
          <w:iCs/>
          <w:color w:val="000000" w:themeColor="text1"/>
        </w:rPr>
        <w:t>Mechanism to eliminate duplication in registration</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Security management of data </w:t>
      </w:r>
    </w:p>
    <w:p w:rsidR="00AF0C2B" w:rsidRDefault="00CA65A2" w:rsidP="00AF0C2B">
      <w:pPr>
        <w:numPr>
          <w:ilvl w:val="0"/>
          <w:numId w:val="2"/>
        </w:numPr>
        <w:rPr>
          <w:rFonts w:cs="Arial"/>
          <w:b/>
          <w:i/>
          <w:iCs/>
          <w:color w:val="000000" w:themeColor="text1"/>
        </w:rPr>
      </w:pPr>
      <w:r>
        <w:rPr>
          <w:rFonts w:cs="Arial"/>
          <w:b/>
          <w:i/>
          <w:iCs/>
          <w:color w:val="000000" w:themeColor="text1"/>
        </w:rPr>
        <w:t>Entry confirmation email</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Accommodations reports </w:t>
      </w:r>
    </w:p>
    <w:p w:rsidR="00AF0C2B" w:rsidRDefault="00CA65A2" w:rsidP="00AF0C2B">
      <w:pPr>
        <w:numPr>
          <w:ilvl w:val="0"/>
          <w:numId w:val="2"/>
        </w:numPr>
        <w:rPr>
          <w:rFonts w:cs="Arial"/>
          <w:b/>
          <w:i/>
          <w:iCs/>
          <w:color w:val="000000" w:themeColor="text1"/>
        </w:rPr>
      </w:pPr>
      <w:r>
        <w:rPr>
          <w:rFonts w:cs="Arial"/>
          <w:b/>
          <w:i/>
          <w:iCs/>
          <w:color w:val="000000" w:themeColor="text1"/>
        </w:rPr>
        <w:t>Travel reports ( arrival and departure )</w:t>
      </w:r>
    </w:p>
    <w:p w:rsidR="00AF0C2B" w:rsidRDefault="00CA65A2" w:rsidP="00AF0C2B">
      <w:pPr>
        <w:numPr>
          <w:ilvl w:val="0"/>
          <w:numId w:val="2"/>
        </w:numPr>
        <w:rPr>
          <w:rFonts w:cs="Arial"/>
          <w:b/>
          <w:i/>
          <w:iCs/>
          <w:color w:val="000000" w:themeColor="text1"/>
        </w:rPr>
      </w:pPr>
      <w:r>
        <w:rPr>
          <w:rFonts w:cs="Arial"/>
          <w:b/>
          <w:i/>
          <w:iCs/>
          <w:color w:val="000000" w:themeColor="text1"/>
        </w:rPr>
        <w:lastRenderedPageBreak/>
        <w:t>Competition management (team and individual sports) for scheduling, statistics ,results  – lane reports, tournament, and point scores</w:t>
      </w:r>
    </w:p>
    <w:p w:rsidR="00AF0C2B" w:rsidRDefault="00CA65A2" w:rsidP="00AF0C2B">
      <w:pPr>
        <w:numPr>
          <w:ilvl w:val="0"/>
          <w:numId w:val="2"/>
        </w:numPr>
        <w:rPr>
          <w:rFonts w:cs="Arial"/>
          <w:b/>
          <w:i/>
          <w:iCs/>
          <w:color w:val="000000" w:themeColor="text1"/>
        </w:rPr>
      </w:pPr>
      <w:r>
        <w:rPr>
          <w:rFonts w:cs="Arial"/>
          <w:b/>
          <w:i/>
          <w:iCs/>
          <w:color w:val="000000" w:themeColor="text1"/>
        </w:rPr>
        <w:t>Adaptable and flexible to event rules based on classification (wheelchair, visual impaired)</w:t>
      </w:r>
    </w:p>
    <w:p w:rsidR="00AF0C2B" w:rsidRDefault="00CA65A2" w:rsidP="00AF0C2B">
      <w:pPr>
        <w:numPr>
          <w:ilvl w:val="0"/>
          <w:numId w:val="2"/>
        </w:numPr>
        <w:rPr>
          <w:rFonts w:cs="Arial"/>
          <w:b/>
          <w:i/>
          <w:iCs/>
          <w:color w:val="000000" w:themeColor="text1"/>
        </w:rPr>
      </w:pPr>
      <w:r>
        <w:rPr>
          <w:rFonts w:cs="Arial"/>
          <w:b/>
          <w:i/>
          <w:iCs/>
          <w:color w:val="000000" w:themeColor="text1"/>
        </w:rPr>
        <w:t>Publishing of live results ( email , web)</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 Inspirational athlete voting </w:t>
      </w:r>
    </w:p>
    <w:p w:rsidR="00AF0C2B" w:rsidRDefault="00CA65A2" w:rsidP="00AF0C2B">
      <w:pPr>
        <w:numPr>
          <w:ilvl w:val="0"/>
          <w:numId w:val="2"/>
        </w:numPr>
        <w:rPr>
          <w:rFonts w:cs="Arial"/>
          <w:b/>
          <w:i/>
          <w:iCs/>
          <w:color w:val="000000" w:themeColor="text1"/>
        </w:rPr>
      </w:pPr>
      <w:r>
        <w:rPr>
          <w:rFonts w:cs="Arial"/>
          <w:b/>
          <w:i/>
          <w:iCs/>
          <w:color w:val="000000" w:themeColor="text1"/>
        </w:rPr>
        <w:t>Online support</w:t>
      </w:r>
    </w:p>
    <w:p w:rsidR="00AF0C2B" w:rsidRDefault="00CA65A2" w:rsidP="00AF0C2B">
      <w:pPr>
        <w:numPr>
          <w:ilvl w:val="0"/>
          <w:numId w:val="2"/>
        </w:numPr>
        <w:rPr>
          <w:rFonts w:cs="Arial"/>
          <w:b/>
          <w:i/>
          <w:iCs/>
          <w:color w:val="000000" w:themeColor="text1"/>
        </w:rPr>
      </w:pPr>
      <w:r>
        <w:rPr>
          <w:rFonts w:cs="Arial"/>
          <w:b/>
          <w:i/>
          <w:iCs/>
          <w:color w:val="000000" w:themeColor="text1"/>
        </w:rPr>
        <w:t>Email alerts</w:t>
      </w:r>
    </w:p>
    <w:p w:rsidR="00AF0C2B" w:rsidRDefault="00CA65A2" w:rsidP="00AF0C2B">
      <w:pPr>
        <w:numPr>
          <w:ilvl w:val="0"/>
          <w:numId w:val="2"/>
        </w:numPr>
        <w:rPr>
          <w:rFonts w:cs="Arial"/>
          <w:b/>
          <w:i/>
          <w:iCs/>
          <w:color w:val="000000" w:themeColor="text1"/>
        </w:rPr>
      </w:pPr>
      <w:r>
        <w:rPr>
          <w:rFonts w:cs="Arial"/>
          <w:b/>
          <w:i/>
          <w:iCs/>
          <w:color w:val="000000" w:themeColor="text1"/>
        </w:rPr>
        <w:t xml:space="preserve">Participant pre and post survey </w:t>
      </w:r>
    </w:p>
    <w:p w:rsidR="00AF0C2B" w:rsidRDefault="00CA65A2" w:rsidP="00AF0C2B">
      <w:pPr>
        <w:numPr>
          <w:ilvl w:val="0"/>
          <w:numId w:val="2"/>
        </w:numPr>
        <w:rPr>
          <w:rFonts w:cs="Arial"/>
          <w:b/>
          <w:i/>
          <w:iCs/>
          <w:color w:val="000000" w:themeColor="text1"/>
        </w:rPr>
      </w:pPr>
      <w:r>
        <w:rPr>
          <w:rFonts w:cs="Arial"/>
          <w:b/>
          <w:i/>
          <w:iCs/>
          <w:color w:val="000000" w:themeColor="text1"/>
        </w:rPr>
        <w:t>Medical clearance management</w:t>
      </w:r>
    </w:p>
    <w:p w:rsidR="00AF0C2B" w:rsidRDefault="00CA65A2" w:rsidP="00AF0C2B">
      <w:pPr>
        <w:rPr>
          <w:rFonts w:cs="Arial"/>
          <w:b/>
          <w:i/>
          <w:iCs/>
          <w:color w:val="000000" w:themeColor="text1"/>
        </w:rPr>
      </w:pPr>
      <w:r>
        <w:rPr>
          <w:rFonts w:cs="Arial"/>
          <w:b/>
          <w:i/>
          <w:iCs/>
          <w:color w:val="000000" w:themeColor="text1"/>
        </w:rPr>
        <w:t> </w:t>
      </w:r>
    </w:p>
    <w:p w:rsidR="00AF0C2B" w:rsidRDefault="00710FBA" w:rsidP="00AF0C2B">
      <w:pPr>
        <w:rPr>
          <w:rFonts w:cs="Arial"/>
          <w:b/>
          <w:color w:val="000000" w:themeColor="text1"/>
        </w:rPr>
      </w:pPr>
    </w:p>
    <w:p w:rsidR="00AF0C2B" w:rsidRDefault="00CA65A2" w:rsidP="00AF0C2B">
      <w:pPr>
        <w:rPr>
          <w:rFonts w:cs="Arial"/>
          <w:b/>
          <w:i/>
          <w:color w:val="000000" w:themeColor="text1"/>
        </w:rPr>
      </w:pPr>
      <w:r>
        <w:rPr>
          <w:rFonts w:cs="Arial"/>
          <w:b/>
          <w:i/>
          <w:color w:val="000000" w:themeColor="text1"/>
        </w:rPr>
        <w:t xml:space="preserve">The NVGAG is a premier senior adaptive rehabilitation program, the only national multi-event sports and recreational senior’s competition program designed to improve the quality of life for all older Veterans, including those with a wide range of abilities and disabilities. The National Veterans Golden Age Games needs an effective mechanism comprised of an external website and internal database that will allow Veterans to register via internet for its annual multi-event sports competition.   </w:t>
      </w:r>
      <w:proofErr w:type="gramStart"/>
      <w:r>
        <w:rPr>
          <w:rFonts w:cs="Arial"/>
          <w:b/>
          <w:i/>
          <w:color w:val="000000" w:themeColor="text1"/>
        </w:rPr>
        <w:t>Registration numbers range from 800 – 1000 (athletes, coaches, and caregivers) each year.</w:t>
      </w:r>
      <w:proofErr w:type="gramEnd"/>
    </w:p>
    <w:p w:rsidR="00AF0C2B" w:rsidRDefault="00710FBA" w:rsidP="00AF0C2B">
      <w:pPr>
        <w:rPr>
          <w:rFonts w:cs="Arial"/>
          <w:b/>
          <w:i/>
          <w:color w:val="000000" w:themeColor="text1"/>
        </w:rPr>
      </w:pPr>
    </w:p>
    <w:p w:rsidR="00AF0C2B" w:rsidRDefault="00CA65A2" w:rsidP="00AF0C2B">
      <w:pPr>
        <w:rPr>
          <w:rFonts w:cs="Arial"/>
          <w:b/>
          <w:i/>
          <w:color w:val="000000" w:themeColor="text1"/>
        </w:rPr>
      </w:pPr>
      <w:r>
        <w:rPr>
          <w:rFonts w:cs="Arial"/>
          <w:b/>
          <w:i/>
          <w:color w:val="000000" w:themeColor="text1"/>
        </w:rPr>
        <w:t>Currently the registration forms are completed by the Veteran and /or VAMC coach/ staff and sent to the Host Veterans Affairs Medical Center (VAMC) to be scanned and the data for each Veteran entered by staff and/or volunteers.   The process has become burdensome for the Host VAMC site requiring over 3,500 hours of VA Staff and volunteers to process the applications an average of 30 – 60 minutes per application.  Approximate cost for current registration process is over $67,000.00 in staff hours.</w:t>
      </w:r>
    </w:p>
    <w:p w:rsidR="00AF0C2B" w:rsidRDefault="00710FBA" w:rsidP="00AF0C2B">
      <w:pPr>
        <w:rPr>
          <w:rFonts w:cs="Arial"/>
          <w:b/>
          <w:i/>
          <w:color w:val="000000" w:themeColor="text1"/>
        </w:rPr>
      </w:pPr>
    </w:p>
    <w:p w:rsidR="00AF0C2B" w:rsidRDefault="00CA65A2" w:rsidP="00AF0C2B">
      <w:pPr>
        <w:rPr>
          <w:rFonts w:cs="Arial"/>
          <w:b/>
          <w:i/>
          <w:color w:val="000000" w:themeColor="text1"/>
        </w:rPr>
      </w:pPr>
      <w:r>
        <w:rPr>
          <w:rFonts w:cs="Arial"/>
          <w:b/>
          <w:i/>
          <w:color w:val="000000" w:themeColor="text1"/>
        </w:rPr>
        <w:t xml:space="preserve">Because online registration is part of a comprehensive plan for meeting the paperwork reduction act requirements, high availability, </w:t>
      </w:r>
      <w:proofErr w:type="gramStart"/>
      <w:r>
        <w:rPr>
          <w:rFonts w:cs="Arial"/>
          <w:b/>
          <w:i/>
          <w:color w:val="000000" w:themeColor="text1"/>
        </w:rPr>
        <w:t>ease</w:t>
      </w:r>
      <w:proofErr w:type="gramEnd"/>
      <w:r>
        <w:rPr>
          <w:rFonts w:cs="Arial"/>
          <w:b/>
          <w:i/>
          <w:color w:val="000000" w:themeColor="text1"/>
        </w:rPr>
        <w:t xml:space="preserve"> of access for Veterans, and high efficiency, it is imperative that the vendor have past experience with a senior multi-sports event with age divisions and classifications, to enable them to hit the ground running.  The vendor should have broad understanding of existing modules to </w:t>
      </w:r>
      <w:proofErr w:type="spellStart"/>
      <w:r>
        <w:rPr>
          <w:rFonts w:cs="Arial"/>
          <w:b/>
          <w:i/>
          <w:color w:val="000000" w:themeColor="text1"/>
        </w:rPr>
        <w:t>provide,automating</w:t>
      </w:r>
      <w:proofErr w:type="spellEnd"/>
      <w:r>
        <w:rPr>
          <w:rFonts w:cs="Arial"/>
          <w:b/>
          <w:i/>
          <w:color w:val="000000" w:themeColor="text1"/>
        </w:rPr>
        <w:t xml:space="preserve"> daily </w:t>
      </w:r>
      <w:proofErr w:type="spellStart"/>
      <w:r>
        <w:rPr>
          <w:rFonts w:cs="Arial"/>
          <w:b/>
          <w:i/>
          <w:color w:val="000000" w:themeColor="text1"/>
        </w:rPr>
        <w:t>taks</w:t>
      </w:r>
      <w:proofErr w:type="spellEnd"/>
      <w:r>
        <w:rPr>
          <w:rFonts w:cs="Arial"/>
          <w:b/>
          <w:i/>
          <w:color w:val="000000" w:themeColor="text1"/>
        </w:rPr>
        <w:t xml:space="preserve">, live results, competition management, accommodations, travel reports and other requirements necessary for successful implementation of the event and a reduction of staff time at the  </w:t>
      </w:r>
      <w:proofErr w:type="spellStart"/>
      <w:r>
        <w:rPr>
          <w:rFonts w:cs="Arial"/>
          <w:b/>
          <w:i/>
          <w:color w:val="000000" w:themeColor="text1"/>
        </w:rPr>
        <w:t>the</w:t>
      </w:r>
      <w:proofErr w:type="spellEnd"/>
      <w:r>
        <w:rPr>
          <w:rFonts w:cs="Arial"/>
          <w:b/>
          <w:i/>
          <w:color w:val="000000" w:themeColor="text1"/>
        </w:rPr>
        <w:t xml:space="preserve"> Local medical facility. As a result, past performance and expertise in management of the National Senior Games was a major consideration for this market research.   </w:t>
      </w:r>
    </w:p>
    <w:p w:rsidR="00AF0C2B" w:rsidRDefault="00710FBA" w:rsidP="00AF0C2B">
      <w:pPr>
        <w:pStyle w:val="Heading3"/>
      </w:pPr>
      <w:bookmarkStart w:id="22" w:name="_Ref259632988"/>
    </w:p>
    <w:bookmarkEnd w:id="22"/>
    <w:p w:rsidR="00AF0C2B" w:rsidRDefault="00710FBA" w:rsidP="00AF0C2B">
      <w:pPr>
        <w:rPr>
          <w:rFonts w:eastAsia="Calibri"/>
        </w:rPr>
      </w:pPr>
    </w:p>
    <w:p w:rsidR="00AF0C2B" w:rsidRDefault="00CA65A2" w:rsidP="00AF0C2B">
      <w:pPr>
        <w:pStyle w:val="Heading2"/>
        <w:numPr>
          <w:ilvl w:val="1"/>
          <w:numId w:val="1"/>
        </w:numPr>
      </w:pPr>
      <w:bookmarkStart w:id="23" w:name="_Toc382924049"/>
      <w:bookmarkStart w:id="24" w:name="_Ref259633002"/>
      <w:r>
        <w:t>REPORTING REQUIREMENTS</w:t>
      </w:r>
      <w:bookmarkEnd w:id="23"/>
      <w:bookmarkEnd w:id="24"/>
    </w:p>
    <w:p w:rsidR="00AF0C2B" w:rsidRDefault="00710FBA" w:rsidP="00AF0C2B">
      <w:pPr>
        <w:rPr>
          <w:rFonts w:cs="Arial"/>
        </w:rPr>
      </w:pPr>
    </w:p>
    <w:p w:rsidR="00AF0C2B" w:rsidRDefault="00CA65A2" w:rsidP="00AF0C2B">
      <w:pPr>
        <w:rPr>
          <w:rFonts w:cs="Arial"/>
          <w:color w:val="000000" w:themeColor="text1"/>
        </w:rPr>
      </w:pPr>
      <w:r>
        <w:rPr>
          <w:rFonts w:cs="Arial"/>
        </w:rPr>
        <w:lastRenderedPageBreak/>
        <w:t xml:space="preserve">The Contractor shall provide the Contracting Officer’s Representative (COR) with </w:t>
      </w:r>
      <w:r>
        <w:rPr>
          <w:rFonts w:cs="Arial"/>
          <w:b/>
          <w:i/>
          <w:color w:val="000000" w:themeColor="text1"/>
        </w:rPr>
        <w:t xml:space="preserve">Weekly </w:t>
      </w:r>
      <w:r>
        <w:rPr>
          <w:rFonts w:cs="Arial"/>
        </w:rPr>
        <w:t xml:space="preserve">Progress Reports in electronic form in Microsoft Word and Project formats.  The report </w:t>
      </w:r>
      <w:r>
        <w:rPr>
          <w:rFonts w:cs="Arial"/>
          <w:color w:val="000000" w:themeColor="text1"/>
        </w:rPr>
        <w:t xml:space="preserve">shall include detailed instructions/explanations for each required data element, to ensure that data is accurate and consistent.  These reports shall reflect data as of the last day of the preceding </w:t>
      </w:r>
      <w:proofErr w:type="gramStart"/>
      <w:r>
        <w:rPr>
          <w:rFonts w:cs="Arial"/>
          <w:b/>
          <w:i/>
          <w:color w:val="000000" w:themeColor="text1"/>
        </w:rPr>
        <w:t xml:space="preserve">Week </w:t>
      </w:r>
      <w:r>
        <w:rPr>
          <w:rFonts w:cs="Arial"/>
          <w:color w:val="000000" w:themeColor="text1"/>
        </w:rPr>
        <w:t>. </w:t>
      </w:r>
      <w:proofErr w:type="gramEnd"/>
      <w:r>
        <w:rPr>
          <w:rFonts w:cs="Arial"/>
          <w:color w:val="000000" w:themeColor="text1"/>
        </w:rPr>
        <w:t xml:space="preserve"> </w:t>
      </w:r>
    </w:p>
    <w:p w:rsidR="00AF0C2B" w:rsidRDefault="00710FBA" w:rsidP="00AF0C2B">
      <w:pPr>
        <w:rPr>
          <w:rFonts w:cs="Arial"/>
          <w:color w:val="000000" w:themeColor="text1"/>
        </w:rPr>
      </w:pPr>
    </w:p>
    <w:p w:rsidR="00AF0C2B" w:rsidRDefault="00CA65A2" w:rsidP="00AF0C2B">
      <w:pPr>
        <w:rPr>
          <w:color w:val="000000" w:themeColor="text1"/>
        </w:rPr>
      </w:pPr>
      <w:r>
        <w:rPr>
          <w:rFonts w:cs="Arial"/>
          <w:color w:val="000000" w:themeColor="text1"/>
        </w:rPr>
        <w:t xml:space="preserve">The </w:t>
      </w:r>
      <w:r>
        <w:rPr>
          <w:rFonts w:cs="Arial"/>
          <w:b/>
          <w:i/>
          <w:color w:val="000000" w:themeColor="text1"/>
        </w:rPr>
        <w:t xml:space="preserve">Weekly </w:t>
      </w:r>
      <w:r>
        <w:rPr>
          <w:rFonts w:cs="Arial"/>
          <w:color w:val="000000" w:themeColor="text1"/>
        </w:rPr>
        <w:t>Progress Reports shall cover all work completed during the reporting period and work planned for the subsequent reporting period.  The report shall also identify any problems that arose and a description of how the problems were resolved.  If problems have not been completely resolved, the Contractor shall provide an explanatio</w:t>
      </w:r>
      <w:r>
        <w:rPr>
          <w:color w:val="000000" w:themeColor="text1"/>
        </w:rPr>
        <w:t>n including their plan and timeframe for resolving the issue.</w:t>
      </w:r>
      <w:r>
        <w:rPr>
          <w:rFonts w:cs="Arial"/>
          <w:color w:val="000000" w:themeColor="text1"/>
        </w:rPr>
        <w:t xml:space="preserve"> </w:t>
      </w:r>
      <w:r>
        <w:rPr>
          <w:color w:val="000000" w:themeColor="text1"/>
        </w:rPr>
        <w:t xml:space="preserve"> It is expected that the Contractor will keep in communication with VA accordingly so that issues that arise are transparent to both parties to prevent escalation of outstanding issues.</w:t>
      </w:r>
    </w:p>
    <w:p w:rsidR="00AF0C2B" w:rsidRDefault="00710FBA" w:rsidP="00AF0C2B">
      <w:pPr>
        <w:rPr>
          <w:color w:val="000000" w:themeColor="text1"/>
        </w:rPr>
      </w:pPr>
    </w:p>
    <w:p w:rsidR="00AF0C2B" w:rsidRDefault="00710FBA" w:rsidP="00AF0C2B">
      <w:pPr>
        <w:rPr>
          <w:rFonts w:cs="Arial"/>
          <w:color w:val="000000" w:themeColor="text1"/>
        </w:rPr>
      </w:pPr>
    </w:p>
    <w:p w:rsidR="00AF0C2B" w:rsidRDefault="00CA65A2" w:rsidP="00AF0C2B">
      <w:pPr>
        <w:jc w:val="both"/>
        <w:rPr>
          <w:rFonts w:cs="Arial"/>
          <w:color w:val="000000" w:themeColor="text1"/>
        </w:rPr>
      </w:pPr>
      <w:r>
        <w:rPr>
          <w:rFonts w:cs="Arial"/>
          <w:b/>
          <w:bCs/>
          <w:color w:val="000000" w:themeColor="text1"/>
        </w:rPr>
        <w:t>Deliverables</w:t>
      </w:r>
      <w:r>
        <w:rPr>
          <w:rFonts w:cs="Arial"/>
          <w:color w:val="000000" w:themeColor="text1"/>
        </w:rPr>
        <w:t xml:space="preserve">:  </w:t>
      </w:r>
    </w:p>
    <w:p w:rsidR="00AF0C2B" w:rsidRDefault="00CA65A2" w:rsidP="00AF0C2B">
      <w:pPr>
        <w:pStyle w:val="ListParagraph"/>
        <w:numPr>
          <w:ilvl w:val="0"/>
          <w:numId w:val="3"/>
        </w:numPr>
        <w:ind w:left="1440"/>
        <w:jc w:val="both"/>
        <w:rPr>
          <w:color w:val="000000" w:themeColor="text1"/>
        </w:rPr>
      </w:pPr>
      <w:r>
        <w:rPr>
          <w:b/>
          <w:i/>
          <w:color w:val="000000" w:themeColor="text1"/>
        </w:rPr>
        <w:t xml:space="preserve">Weekly </w:t>
      </w:r>
      <w:r>
        <w:rPr>
          <w:color w:val="000000" w:themeColor="text1"/>
        </w:rPr>
        <w:t>Progress Report</w:t>
      </w:r>
    </w:p>
    <w:p w:rsidR="00AF0C2B" w:rsidRDefault="00CA65A2" w:rsidP="00AF0C2B">
      <w:pPr>
        <w:jc w:val="both"/>
        <w:rPr>
          <w:rFonts w:cs="Arial"/>
          <w:i/>
          <w:color w:val="000000" w:themeColor="text1"/>
        </w:rPr>
      </w:pPr>
      <w:r>
        <w:rPr>
          <w:rFonts w:cs="Arial"/>
          <w:b/>
          <w:bCs/>
          <w:i/>
          <w:color w:val="000000" w:themeColor="text1"/>
        </w:rPr>
        <w:br/>
        <w:t>Deliverables</w:t>
      </w:r>
      <w:r>
        <w:rPr>
          <w:rFonts w:cs="Arial"/>
          <w:i/>
          <w:color w:val="000000" w:themeColor="text1"/>
        </w:rPr>
        <w:t xml:space="preserve">:  </w:t>
      </w:r>
    </w:p>
    <w:p w:rsidR="00AF0C2B" w:rsidRDefault="00CA65A2" w:rsidP="00AF0C2B">
      <w:pPr>
        <w:ind w:left="360"/>
        <w:jc w:val="both"/>
        <w:rPr>
          <w:i/>
          <w:color w:val="000000" w:themeColor="text1"/>
        </w:rPr>
      </w:pPr>
      <w:r>
        <w:rPr>
          <w:i/>
          <w:color w:val="000000" w:themeColor="text1"/>
        </w:rPr>
        <w:t>A. Online Software &amp; hosting (per person) January 1, 2014</w:t>
      </w:r>
    </w:p>
    <w:p w:rsidR="00AF0C2B" w:rsidRDefault="00CA65A2" w:rsidP="00AF0C2B">
      <w:pPr>
        <w:ind w:left="360"/>
        <w:jc w:val="both"/>
        <w:rPr>
          <w:i/>
          <w:color w:val="000000" w:themeColor="text1"/>
        </w:rPr>
      </w:pPr>
      <w:proofErr w:type="spellStart"/>
      <w:r>
        <w:rPr>
          <w:i/>
          <w:color w:val="000000" w:themeColor="text1"/>
        </w:rPr>
        <w:t>A.Guided</w:t>
      </w:r>
      <w:proofErr w:type="spellEnd"/>
      <w:r>
        <w:rPr>
          <w:i/>
          <w:color w:val="000000" w:themeColor="text1"/>
        </w:rPr>
        <w:t xml:space="preserve"> Set up January 1, 2014</w:t>
      </w:r>
    </w:p>
    <w:p w:rsidR="00AF0C2B" w:rsidRDefault="00CA65A2" w:rsidP="00AF0C2B">
      <w:pPr>
        <w:ind w:left="360"/>
        <w:jc w:val="both"/>
        <w:rPr>
          <w:i/>
          <w:color w:val="000000" w:themeColor="text1"/>
        </w:rPr>
      </w:pPr>
      <w:proofErr w:type="spellStart"/>
      <w:r>
        <w:rPr>
          <w:i/>
          <w:color w:val="000000" w:themeColor="text1"/>
        </w:rPr>
        <w:t>A.Graphic</w:t>
      </w:r>
      <w:proofErr w:type="spellEnd"/>
      <w:r>
        <w:rPr>
          <w:i/>
          <w:color w:val="000000" w:themeColor="text1"/>
        </w:rPr>
        <w:t xml:space="preserve"> Design for website &amp; Email January 1, 2014</w:t>
      </w:r>
    </w:p>
    <w:p w:rsidR="00AF0C2B" w:rsidRDefault="00CA65A2" w:rsidP="00AF0C2B">
      <w:pPr>
        <w:ind w:left="360"/>
        <w:jc w:val="both"/>
        <w:rPr>
          <w:i/>
          <w:color w:val="000000" w:themeColor="text1"/>
        </w:rPr>
      </w:pPr>
      <w:r>
        <w:rPr>
          <w:i/>
          <w:color w:val="000000" w:themeColor="text1"/>
        </w:rPr>
        <w:t>A.SSL Certificates Custom January 1, 2014</w:t>
      </w:r>
    </w:p>
    <w:p w:rsidR="00AF0C2B" w:rsidRDefault="00CA65A2" w:rsidP="00AF0C2B">
      <w:pPr>
        <w:ind w:left="360"/>
        <w:jc w:val="both"/>
        <w:rPr>
          <w:i/>
          <w:color w:val="000000" w:themeColor="text1"/>
        </w:rPr>
      </w:pPr>
      <w:r>
        <w:rPr>
          <w:i/>
          <w:color w:val="000000" w:themeColor="text1"/>
        </w:rPr>
        <w:t>A. Training January 1, 2014</w:t>
      </w:r>
    </w:p>
    <w:p w:rsidR="00AF0C2B" w:rsidRDefault="00CA65A2" w:rsidP="00AF0C2B">
      <w:pPr>
        <w:ind w:left="360"/>
        <w:jc w:val="both"/>
        <w:rPr>
          <w:i/>
          <w:color w:val="000000" w:themeColor="text1"/>
        </w:rPr>
      </w:pPr>
      <w:r>
        <w:rPr>
          <w:i/>
          <w:color w:val="000000" w:themeColor="text1"/>
        </w:rPr>
        <w:t>B. On site Consulting Planning June 28 – July 3, 2014</w:t>
      </w:r>
    </w:p>
    <w:p w:rsidR="00AF0C2B" w:rsidRDefault="00CA65A2" w:rsidP="00AF0C2B">
      <w:pPr>
        <w:ind w:left="360"/>
        <w:jc w:val="both"/>
        <w:rPr>
          <w:i/>
          <w:color w:val="000000" w:themeColor="text1"/>
        </w:rPr>
      </w:pPr>
      <w:r>
        <w:rPr>
          <w:i/>
          <w:color w:val="000000" w:themeColor="text1"/>
        </w:rPr>
        <w:t>B. On site Management June 28 – July 3, 2014</w:t>
      </w:r>
    </w:p>
    <w:p w:rsidR="00AF0C2B" w:rsidRDefault="00CA65A2" w:rsidP="00AF0C2B">
      <w:pPr>
        <w:ind w:left="360"/>
        <w:jc w:val="both"/>
        <w:rPr>
          <w:i/>
          <w:color w:val="000000" w:themeColor="text1"/>
        </w:rPr>
      </w:pPr>
      <w:r>
        <w:rPr>
          <w:i/>
          <w:color w:val="000000" w:themeColor="text1"/>
        </w:rPr>
        <w:t>B. Onsite assistance June 28 – July 3, 2014</w:t>
      </w:r>
    </w:p>
    <w:p w:rsidR="00AF0C2B" w:rsidRDefault="00CA65A2" w:rsidP="00AF0C2B">
      <w:pPr>
        <w:pStyle w:val="Heading1"/>
        <w:numPr>
          <w:ilvl w:val="0"/>
          <w:numId w:val="1"/>
        </w:numPr>
        <w:rPr>
          <w:color w:val="000000" w:themeColor="text1"/>
        </w:rPr>
      </w:pPr>
      <w:bookmarkStart w:id="25" w:name="_Toc382924050"/>
      <w:r>
        <w:rPr>
          <w:color w:val="000000" w:themeColor="text1"/>
        </w:rPr>
        <w:t>GENERAL REQUIREMENTS</w:t>
      </w:r>
      <w:bookmarkEnd w:id="25"/>
    </w:p>
    <w:p w:rsidR="00AF0C2B" w:rsidRDefault="00CA65A2" w:rsidP="00AF0C2B">
      <w:pPr>
        <w:pStyle w:val="Heading2"/>
        <w:numPr>
          <w:ilvl w:val="1"/>
          <w:numId w:val="1"/>
        </w:numPr>
        <w:rPr>
          <w:color w:val="000000" w:themeColor="text1"/>
        </w:rPr>
      </w:pPr>
      <w:bookmarkStart w:id="26" w:name="_Toc382924051"/>
      <w:bookmarkStart w:id="27" w:name="_Ref259622468"/>
      <w:bookmarkStart w:id="28" w:name="_Ref259622455"/>
      <w:bookmarkStart w:id="29" w:name="_Ref259622437"/>
      <w:bookmarkStart w:id="30" w:name="_Ref259622424"/>
      <w:bookmarkStart w:id="31" w:name="_Ref259621963"/>
      <w:bookmarkStart w:id="32" w:name="_Ref252786053"/>
      <w:bookmarkStart w:id="33" w:name="_Toc251331977"/>
      <w:r>
        <w:rPr>
          <w:color w:val="000000" w:themeColor="text1"/>
        </w:rPr>
        <w:t>ENTERPRISE AND IT FRAMEWORK</w:t>
      </w:r>
      <w:bookmarkEnd w:id="26"/>
      <w:bookmarkEnd w:id="27"/>
      <w:bookmarkEnd w:id="28"/>
      <w:bookmarkEnd w:id="29"/>
      <w:bookmarkEnd w:id="30"/>
      <w:bookmarkEnd w:id="31"/>
    </w:p>
    <w:p w:rsidR="00AF0C2B" w:rsidRDefault="00CA65A2" w:rsidP="00AF0C2B">
      <w:pPr>
        <w:keepNext/>
        <w:rPr>
          <w:rFonts w:cs="Arial"/>
        </w:rPr>
      </w:pPr>
      <w:r>
        <w:rPr>
          <w:rFonts w:cs="Arial"/>
          <w:b/>
          <w:i/>
          <w:color w:val="0070C0"/>
        </w:rPr>
        <w:t xml:space="preserve"> </w:t>
      </w:r>
    </w:p>
    <w:p w:rsidR="00AF0C2B" w:rsidRDefault="00CA65A2" w:rsidP="00AF0C2B">
      <w:r>
        <w:t>The Contractor solution shall support the latest Internet Protocol Version 6 (IPv6) based upon the directives issued by the Office of Management and Budget (OMB) on August 2, 2005 (</w:t>
      </w:r>
      <w:hyperlink r:id="rId19" w:history="1">
        <w:r>
          <w:rPr>
            <w:rStyle w:val="Hyperlink"/>
            <w:rFonts w:asciiTheme="minorHAnsi" w:hAnsiTheme="minorHAnsi" w:cstheme="minorBidi"/>
            <w:sz w:val="22"/>
          </w:rPr>
          <w:t>http://www.whitehouse.gov/sites/default/files/omb/assets/omb/memoranda/fy2005/m05-22.pdf</w:t>
        </w:r>
      </w:hyperlink>
      <w:r>
        <w:t>) and September 28, 2010 (</w:t>
      </w:r>
      <w:hyperlink r:id="rId20" w:history="1">
        <w:r>
          <w:rPr>
            <w:rStyle w:val="Hyperlink"/>
            <w:rFonts w:asciiTheme="minorHAnsi" w:hAnsiTheme="minorHAnsi" w:cstheme="minorBidi"/>
            <w:sz w:val="22"/>
          </w:rPr>
          <w:t>https://cio.gov/wp-content/uploads/downloads/2012/09/Transition-to-IPv6.pdf</w:t>
        </w:r>
      </w:hyperlink>
      <w:r>
        <w:t xml:space="preserve">).  IPv6 technology, in accordance with the USGv6 Profile (NIST Special Publication (SP) 500-267 </w:t>
      </w:r>
      <w:hyperlink r:id="rId21" w:history="1">
        <w:r>
          <w:rPr>
            <w:rStyle w:val="Hyperlink"/>
            <w:rFonts w:asciiTheme="minorHAnsi" w:hAnsiTheme="minorHAnsi" w:cstheme="minorBidi"/>
            <w:sz w:val="22"/>
          </w:rPr>
          <w:t>http://www-x.antd.nist.gov/usgv6/index.html</w:t>
        </w:r>
      </w:hyperlink>
      <w:r>
        <w:t>), the Technical Infrastructure for USGv6 Adoption (</w:t>
      </w:r>
      <w:hyperlink r:id="rId22" w:history="1">
        <w:r>
          <w:rPr>
            <w:rStyle w:val="Hyperlink"/>
            <w:rFonts w:asciiTheme="minorHAnsi" w:hAnsiTheme="minorHAnsi" w:cstheme="minorBidi"/>
            <w:sz w:val="22"/>
          </w:rPr>
          <w:t>http://www.nist.gov/itl/antd/usgv6.cfm</w:t>
        </w:r>
      </w:hyperlink>
      <w:r>
        <w:t xml:space="preserve">),  and the NIST SP 800 series applicable </w:t>
      </w:r>
      <w:r>
        <w:lastRenderedPageBreak/>
        <w:t>compliance (</w:t>
      </w:r>
      <w:hyperlink r:id="rId23" w:history="1">
        <w:r>
          <w:rPr>
            <w:rStyle w:val="Hyperlink"/>
            <w:rFonts w:asciiTheme="minorHAnsi" w:hAnsiTheme="minorHAnsi" w:cstheme="minorBidi"/>
            <w:sz w:val="22"/>
          </w:rPr>
          <w:t>http://csrc.nist.gov/publications/PubsSPs.html</w:t>
        </w:r>
      </w:hyperlink>
      <w:r>
        <w:t xml:space="preserve">) shall be included in all IT infrastructures, application designs, application development, operational systems and sub-systems, and their integration.  All public/external facing servers and services (e.g. web, email, DNS, ISP services, etc.) shall support native IPv6 users, and all internal infrastructure and applications shall communicate using native IPv6 operations.  Information concerning IPv6 transition in addition to OMB/VA Memoranda can be found at </w:t>
      </w:r>
      <w:hyperlink r:id="rId24" w:history="1">
        <w:r>
          <w:rPr>
            <w:rStyle w:val="Hyperlink"/>
            <w:rFonts w:asciiTheme="minorHAnsi" w:hAnsiTheme="minorHAnsi" w:cstheme="minorBidi"/>
            <w:sz w:val="22"/>
          </w:rPr>
          <w:t>https://www.voa.va.gov/</w:t>
        </w:r>
      </w:hyperlink>
      <w:r>
        <w:t>.</w:t>
      </w:r>
    </w:p>
    <w:p w:rsidR="00AF0C2B" w:rsidRDefault="00710FBA" w:rsidP="00AF0C2B"/>
    <w:p w:rsidR="00AF0C2B" w:rsidRDefault="00CA65A2" w:rsidP="00AF0C2B">
      <w:r>
        <w:t>The Contractor IT end user solution that is developed for use on standard VA computers shall be compatible with and be supported on the standard VA operating system, currently Windows 7 (64bit), Internet Explorer 9 and Microsoft Office 2010.  However, the migration from Windows XP to Windows 7 is not yet complete within all of VA.  As a result, compatibility with and support on Windows XP, Internet Explorer 7 and Microsoft Office 2007 are also required until April 2014 when Microsoft’s extended support for Windows XP ends.  Applications delivered to the VA and intended to be deployed to Windows XP or 7 workstation shall be delivered as a signed  .</w:t>
      </w:r>
      <w:proofErr w:type="spellStart"/>
      <w:r>
        <w:t>msi</w:t>
      </w:r>
      <w:proofErr w:type="spellEnd"/>
      <w:r>
        <w:t xml:space="preserve"> package and updates shall be delivered in signed .</w:t>
      </w:r>
      <w:proofErr w:type="spellStart"/>
      <w:r>
        <w:t>msp</w:t>
      </w:r>
      <w:proofErr w:type="spellEnd"/>
      <w:r>
        <w:t xml:space="preserve"> file formats for easy deployment using System Center Configuration Manager (SCCM) VA’s current desktop application deployment tool.   Signing of the software code shall be through a VA trusted code signing authority such as Verizon/</w:t>
      </w:r>
      <w:proofErr w:type="spellStart"/>
      <w:r>
        <w:t>Cybertrust</w:t>
      </w:r>
      <w:proofErr w:type="spellEnd"/>
      <w:r>
        <w:t xml:space="preserve"> or Symantec/VeriSign.  The Contractor shall also ensure and certify that their solution functions as expected when used from a standard VA computer, with non-admin, standard user rights that has been configured using the Federal Desktop Core Configuration (FDCC) and United States Government Configuration Baseline (USGCB) specific to the particular client operating system being used. </w:t>
      </w:r>
    </w:p>
    <w:p w:rsidR="00AF0C2B" w:rsidRDefault="00710FBA" w:rsidP="00AF0C2B">
      <w:pPr>
        <w:rPr>
          <w:rFonts w:cs="Arial"/>
        </w:rPr>
      </w:pPr>
    </w:p>
    <w:p w:rsidR="00AF0C2B" w:rsidRDefault="00CA65A2" w:rsidP="00AF0C2B">
      <w:pPr>
        <w:rPr>
          <w:rFonts w:cs="Arial"/>
        </w:rPr>
      </w:pPr>
      <w:r>
        <w:rPr>
          <w:rFonts w:cs="Arial"/>
        </w:rPr>
        <w:t xml:space="preserve">The Contractor shall support VA efforts in accordance with the Project Management Accountability System (PMAS) that mandates all new VA IT projects/programs use an incremental development approach, requiring frequent delivery milestones that deliver new capabilities for business sponsors to test and accept functionality.  Implemented by the Assistant Secretary for IT, PMAS is a VA-wide initiative to better empower the OIT Project Managers and teams to meet their mission: delivering world-class IT products that meet business needs on time and within budget.  </w:t>
      </w:r>
    </w:p>
    <w:p w:rsidR="00AF0C2B" w:rsidRDefault="00710FBA" w:rsidP="00AF0C2B">
      <w:pPr>
        <w:rPr>
          <w:rFonts w:cs="Arial"/>
        </w:rPr>
      </w:pPr>
    </w:p>
    <w:p w:rsidR="00AF0C2B" w:rsidRDefault="00CA65A2" w:rsidP="00AF0C2B">
      <w:pPr>
        <w:pStyle w:val="Heading2"/>
        <w:numPr>
          <w:ilvl w:val="1"/>
          <w:numId w:val="1"/>
        </w:numPr>
      </w:pPr>
      <w:bookmarkStart w:id="34" w:name="_Toc382924052"/>
      <w:bookmarkStart w:id="35" w:name="_Ref259622553"/>
      <w:bookmarkStart w:id="36" w:name="_Ref259622548"/>
      <w:r>
        <w:t>CONTRACTOR PERSONNEL SECURITY REQUIREMENTS</w:t>
      </w:r>
      <w:bookmarkEnd w:id="32"/>
      <w:bookmarkEnd w:id="34"/>
      <w:bookmarkEnd w:id="35"/>
      <w:bookmarkEnd w:id="36"/>
    </w:p>
    <w:p w:rsidR="00AF0C2B" w:rsidRDefault="00710FBA" w:rsidP="00AF0C2B">
      <w:pPr>
        <w:keepNext/>
        <w:ind w:left="1440" w:hanging="360"/>
      </w:pPr>
    </w:p>
    <w:p w:rsidR="00AF0C2B" w:rsidRDefault="00CA65A2" w:rsidP="00AF0C2B">
      <w:pPr>
        <w:keepNext/>
        <w:ind w:left="720" w:hanging="360"/>
      </w:pPr>
      <w:r>
        <w:t xml:space="preserve">The position sensitivity and the level of background investigation commensurate with the required level of access </w:t>
      </w:r>
      <w:proofErr w:type="gramStart"/>
      <w:r>
        <w:t>is</w:t>
      </w:r>
      <w:proofErr w:type="gramEnd"/>
      <w:r>
        <w:t xml:space="preserve">: </w:t>
      </w:r>
    </w:p>
    <w:p w:rsidR="00AF0C2B" w:rsidRDefault="00710FBA" w:rsidP="00AF0C2B">
      <w:pPr>
        <w:keepNext/>
        <w:ind w:firstLine="720"/>
        <w:rPr>
          <w:rFonts w:cs="Arial"/>
        </w:rPr>
      </w:pPr>
      <w:bookmarkStart w:id="37" w:name="Check1"/>
    </w:p>
    <w:p w:rsidR="00AF0C2B" w:rsidRDefault="00CA65A2" w:rsidP="00AF0C2B">
      <w:pPr>
        <w:keepNext/>
        <w:ind w:firstLine="720"/>
        <w:rPr>
          <w:rFonts w:cs="Arial"/>
        </w:rPr>
      </w:pPr>
      <w:r>
        <w:fldChar w:fldCharType="begin">
          <w:ffData>
            <w:name w:val="Check1"/>
            <w:enabled/>
            <w:calcOnExit w:val="0"/>
            <w:checkBox>
              <w:sizeAuto/>
              <w:default w:val="1"/>
            </w:checkBox>
          </w:ffData>
        </w:fldChar>
      </w:r>
      <w:r>
        <w:rPr>
          <w:rFonts w:cs="Arial"/>
        </w:rPr>
        <w:instrText xml:space="preserve"> FORMCHECKBOX </w:instrText>
      </w:r>
      <w:r>
        <w:fldChar w:fldCharType="end"/>
      </w:r>
      <w:bookmarkEnd w:id="37"/>
      <w:r>
        <w:rPr>
          <w:rFonts w:cs="Arial"/>
        </w:rPr>
        <w:tab/>
        <w:t xml:space="preserve">Low/NACI  </w:t>
      </w:r>
    </w:p>
    <w:p w:rsidR="00AF0C2B" w:rsidRDefault="00710FBA" w:rsidP="00AF0C2B">
      <w:pPr>
        <w:rPr>
          <w:rFonts w:cs="Arial"/>
        </w:rPr>
      </w:pPr>
    </w:p>
    <w:p w:rsidR="00AF0C2B" w:rsidRDefault="00CA65A2" w:rsidP="00AF0C2B">
      <w:pPr>
        <w:ind w:left="720" w:hanging="360"/>
        <w:rPr>
          <w:rFonts w:cs="Arial"/>
        </w:rPr>
      </w:pPr>
      <w:r>
        <w:rPr>
          <w:rFonts w:cs="Arial"/>
        </w:rPr>
        <w:t xml:space="preserve">Contractor Responsibilities: </w:t>
      </w:r>
    </w:p>
    <w:p w:rsidR="00AF0C2B" w:rsidRDefault="00CA65A2" w:rsidP="00AF0C2B">
      <w:pPr>
        <w:pStyle w:val="Lista"/>
        <w:numPr>
          <w:ilvl w:val="0"/>
          <w:numId w:val="4"/>
        </w:numPr>
        <w:tabs>
          <w:tab w:val="left" w:pos="720"/>
        </w:tabs>
        <w:ind w:left="1080"/>
      </w:pPr>
      <w:r>
        <w:t>For a Low Risk designation, with a period of performance requirement of 180 days or less, a Special Agreement Check (SAC) is required.  A Department of Veterans Affairs (DVA) Memorandum – Electronic Fingerprints form is required for fingerprinting.  This should be submitted to the CO or COR after award has been made.</w:t>
      </w:r>
    </w:p>
    <w:p w:rsidR="00AF0C2B" w:rsidRDefault="00CA65A2" w:rsidP="00AF0C2B">
      <w:pPr>
        <w:pStyle w:val="Lista"/>
        <w:numPr>
          <w:ilvl w:val="0"/>
          <w:numId w:val="4"/>
        </w:numPr>
        <w:tabs>
          <w:tab w:val="left" w:pos="720"/>
        </w:tabs>
        <w:ind w:left="1080"/>
        <w:rPr>
          <w:rFonts w:cs="Arial"/>
        </w:rPr>
      </w:pPr>
      <w:r>
        <w:rPr>
          <w:rFonts w:cs="Arial"/>
        </w:rPr>
        <w:lastRenderedPageBreak/>
        <w:t>The Contractor shall be responsible for the actions of all personnel provided to work for VA under this contract.  In the event that damages arise from work performed by Contractor provided personnel, under the auspices of this contract, the Contractor shall be responsible for all resources necessary to remedy the incident.</w:t>
      </w:r>
    </w:p>
    <w:p w:rsidR="00AF0C2B" w:rsidRDefault="00CA65A2" w:rsidP="00AF0C2B">
      <w:pPr>
        <w:pStyle w:val="Lista"/>
        <w:numPr>
          <w:ilvl w:val="0"/>
          <w:numId w:val="4"/>
        </w:numPr>
        <w:tabs>
          <w:tab w:val="left" w:pos="720"/>
        </w:tabs>
        <w:ind w:left="1080"/>
      </w:pPr>
      <w:bookmarkStart w:id="38" w:name="_Ref256418893"/>
      <w:bookmarkStart w:id="39" w:name="_Ref252785375"/>
      <w:bookmarkStart w:id="40" w:name="_Ref252785327"/>
      <w:bookmarkStart w:id="41" w:name="_Toc251331978"/>
      <w:bookmarkEnd w:id="8"/>
      <w:bookmarkEnd w:id="33"/>
      <w:r>
        <w:rPr>
          <w:rFonts w:cs="Arial"/>
        </w:rPr>
        <w:t>A Contractor may be granted unescorted access to VA facilities and/or access to VA Information Technology resources (network and/or protected data) with a favorably adjudicated Special Agreement Check (SAC) or “Closed, No Issues” (SAC) finger print results, training delineated in VA Handbook 6500.6 (Appendix C, Section 9), and, the signed “Contractor Rules of Behavior.”   The investigative history for Co</w:t>
      </w:r>
      <w:r>
        <w:t xml:space="preserve">ntractor personnel working under this contract must be maintained in the database of the Office of Personnel Management (OPM).   </w:t>
      </w:r>
    </w:p>
    <w:p w:rsidR="00AF0C2B" w:rsidRDefault="00CA65A2" w:rsidP="00AF0C2B">
      <w:pPr>
        <w:pStyle w:val="Lista"/>
        <w:numPr>
          <w:ilvl w:val="0"/>
          <w:numId w:val="4"/>
        </w:numPr>
        <w:tabs>
          <w:tab w:val="left" w:pos="720"/>
        </w:tabs>
        <w:ind w:left="1080"/>
        <w:rPr>
          <w:rFonts w:cs="Arial"/>
        </w:rPr>
      </w:pPr>
      <w:r>
        <w:rPr>
          <w:rFonts w:cs="Arial"/>
        </w:rPr>
        <w:t>The Contractor, when notified of an unfavorably adjudicated background investigation on a Contractor employee as determined by the Government, shall withdraw the employee from consideration in working under the contract.</w:t>
      </w:r>
    </w:p>
    <w:p w:rsidR="00AF0C2B" w:rsidRDefault="00CA65A2" w:rsidP="00AF0C2B">
      <w:pPr>
        <w:pStyle w:val="Lista"/>
        <w:numPr>
          <w:ilvl w:val="0"/>
          <w:numId w:val="4"/>
        </w:numPr>
        <w:tabs>
          <w:tab w:val="left" w:pos="720"/>
        </w:tabs>
        <w:ind w:left="1080"/>
        <w:rPr>
          <w:rFonts w:cs="Arial"/>
        </w:rPr>
      </w:pPr>
      <w:r>
        <w:rPr>
          <w:rFonts w:cs="Arial"/>
        </w:rPr>
        <w:t>Failure to comply with the Contractor personnel security investigative requirements may result in termination of the contract for default.</w:t>
      </w:r>
    </w:p>
    <w:p w:rsidR="00AF0C2B" w:rsidRDefault="00CA65A2" w:rsidP="00AF0C2B">
      <w:pPr>
        <w:pStyle w:val="Heading2"/>
        <w:numPr>
          <w:ilvl w:val="1"/>
          <w:numId w:val="1"/>
        </w:numPr>
      </w:pPr>
      <w:bookmarkStart w:id="42" w:name="_Toc382924053"/>
      <w:r>
        <w:t>METHOD AND DISTRIBUTION OF DELIVERABLES</w:t>
      </w:r>
      <w:bookmarkEnd w:id="38"/>
      <w:bookmarkEnd w:id="39"/>
      <w:bookmarkEnd w:id="40"/>
      <w:bookmarkEnd w:id="41"/>
      <w:bookmarkEnd w:id="42"/>
    </w:p>
    <w:p w:rsidR="00AF0C2B" w:rsidRDefault="00CA65A2" w:rsidP="00AF0C2B">
      <w:pPr>
        <w:rPr>
          <w:rFonts w:cs="Arial"/>
        </w:rPr>
      </w:pPr>
      <w:r>
        <w:rPr>
          <w:rFonts w:cs="Arial"/>
        </w:rPr>
        <w:t>The Contractor shall deliver documentation in electronic format, unless otherwise directed in Section B of the solicitation/contract.  Acceptable electronic media include: MS Word 2000/2003/2007/2010, MS Excel 2000/2003/2007/2010, MS PowerPoint 2000/2003/2007/2010, MS Project 2000/2003/2007/2010, MS Access 2000/2003/2007/2010, MS Visio 2000/2002/2003/2007/2010, AutoCAD 2002/2004/2007/2010, and Adobe Postscript Data Format (PDF).</w:t>
      </w:r>
    </w:p>
    <w:p w:rsidR="00AF0C2B" w:rsidRDefault="00710FBA" w:rsidP="00AF0C2B">
      <w:pPr>
        <w:rPr>
          <w:rFonts w:cs="Arial"/>
        </w:rPr>
      </w:pPr>
    </w:p>
    <w:p w:rsidR="00AF0C2B" w:rsidRDefault="00710FBA" w:rsidP="00AF0C2B">
      <w:pPr>
        <w:rPr>
          <w:rFonts w:cs="Arial"/>
        </w:rPr>
      </w:pPr>
    </w:p>
    <w:p w:rsidR="00AF0C2B" w:rsidRDefault="00CA65A2" w:rsidP="00AF0C2B">
      <w:pPr>
        <w:pStyle w:val="Heading2"/>
        <w:numPr>
          <w:ilvl w:val="1"/>
          <w:numId w:val="1"/>
        </w:numPr>
      </w:pPr>
      <w:bookmarkStart w:id="43" w:name="_Toc382924054"/>
      <w:bookmarkStart w:id="44" w:name="_Ref256418906"/>
      <w:bookmarkStart w:id="45" w:name="_Toc251331980"/>
      <w:r>
        <w:t>FACILITY/RESOURCE PROVISIONS</w:t>
      </w:r>
      <w:bookmarkEnd w:id="43"/>
      <w:bookmarkEnd w:id="44"/>
      <w:r>
        <w:t xml:space="preserve"> </w:t>
      </w:r>
      <w:bookmarkEnd w:id="45"/>
    </w:p>
    <w:p w:rsidR="00AF0C2B" w:rsidRDefault="00710FBA" w:rsidP="00AF0C2B">
      <w:pPr>
        <w:rPr>
          <w:rFonts w:cs="Arial"/>
        </w:rPr>
      </w:pPr>
    </w:p>
    <w:p w:rsidR="00AF0C2B" w:rsidRDefault="00CA65A2" w:rsidP="00AF0C2B">
      <w:pPr>
        <w:rPr>
          <w:rFonts w:cs="Arial"/>
        </w:rPr>
      </w:pPr>
      <w:r>
        <w:rPr>
          <w:rFonts w:cs="Arial"/>
        </w:rPr>
        <w:t>The Contractor shall request other Government documentation deemed pertinent to the work accomplishment directly from the Government officials with whom the Contractor has contact.  The Contractor shall consider the COR as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rsidR="00E4087B" w:rsidRDefault="00710FBA"/>
    <w:sectPr w:rsidR="00E4087B">
      <w:footerReference w:type="default" r:id="rId25"/>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BA" w:rsidRDefault="00710FBA">
      <w:pPr>
        <w:spacing w:after="0" w:line="240" w:lineRule="auto"/>
      </w:pPr>
      <w:r>
        <w:separator/>
      </w:r>
    </w:p>
  </w:endnote>
  <w:endnote w:type="continuationSeparator" w:id="0">
    <w:p w:rsidR="00710FBA" w:rsidRDefault="0071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C7" w:rsidRDefault="00CA65A2">
    <w:pPr>
      <w:pStyle w:val="Header"/>
      <w:jc w:val="right"/>
    </w:pPr>
    <w:r>
      <w:t xml:space="preserve">Page </w:t>
    </w:r>
    <w:r>
      <w:fldChar w:fldCharType="begin"/>
    </w:r>
    <w:r>
      <w:instrText xml:space="preserve"> PAGE   \* MERGEFORMAT </w:instrText>
    </w:r>
    <w:r>
      <w:fldChar w:fldCharType="separate"/>
    </w:r>
    <w:r w:rsidR="008D2B8F">
      <w:rPr>
        <w:noProof/>
      </w:rPr>
      <w:t>3</w:t>
    </w:r>
    <w:r>
      <w:fldChar w:fldCharType="end"/>
    </w:r>
    <w:r>
      <w:t xml:space="preserve"> of </w:t>
    </w:r>
    <w:fldSimple w:instr=" NUMPAGES   \* MERGEFORMAT ">
      <w:r w:rsidR="008D2B8F">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BA" w:rsidRDefault="00710FBA">
      <w:pPr>
        <w:spacing w:after="0" w:line="240" w:lineRule="auto"/>
      </w:pPr>
      <w:r>
        <w:separator/>
      </w:r>
    </w:p>
  </w:footnote>
  <w:footnote w:type="continuationSeparator" w:id="0">
    <w:p w:rsidR="00710FBA" w:rsidRDefault="0071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A14"/>
    <w:multiLevelType w:val="hybridMultilevel"/>
    <w:tmpl w:val="69B020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867C02"/>
    <w:multiLevelType w:val="hybridMultilevel"/>
    <w:tmpl w:val="1A64CE52"/>
    <w:lvl w:ilvl="0" w:tplc="52AC0F10">
      <w:start w:val="1"/>
      <w:numFmt w:val="lowerLetter"/>
      <w:lvlText w:val="%1."/>
      <w:lvlJc w:val="left"/>
      <w:pPr>
        <w:ind w:left="720" w:hanging="360"/>
      </w:pPr>
      <w:rPr>
        <w:b w:val="0"/>
        <w:i w:val="0"/>
        <w:strike w:val="0"/>
        <w:dstrike w:val="0"/>
        <w:color w:val="00000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7332F8"/>
    <w:multiLevelType w:val="multilevel"/>
    <w:tmpl w:val="2D522814"/>
    <w:lvl w:ilvl="0">
      <w:start w:val="1"/>
      <w:numFmt w:val="decimal"/>
      <w:pStyle w:val="AppendixHeading"/>
      <w:lvlText w:val="%1."/>
      <w:lvlJc w:val="left"/>
      <w:pPr>
        <w:tabs>
          <w:tab w:val="num" w:pos="720"/>
        </w:tabs>
        <w:ind w:left="720" w:hanging="360"/>
      </w:pPr>
    </w:lvl>
    <w:lvl w:ilvl="1">
      <w:start w:val="1"/>
      <w:numFmt w:val="decimal"/>
      <w:pStyle w:val="AppendixHeading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CE484F"/>
    <w:multiLevelType w:val="multilevel"/>
    <w:tmpl w:val="3E34D950"/>
    <w:lvl w:ilvl="0">
      <w:start w:val="1"/>
      <w:numFmt w:val="decimal"/>
      <w:pStyle w:val="Lista"/>
      <w:lvlText w:val="%1.0 "/>
      <w:lvlJc w:val="left"/>
      <w:pPr>
        <w:ind w:left="720" w:hanging="720"/>
      </w:pPr>
      <w:rPr>
        <w:rFonts w:ascii="Arial" w:hAnsi="Arial" w:cs="Arial"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ascii="Arial" w:hAnsi="Arial" w:cs="Arial"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Arial" w:hAnsi="Arial" w:cs="Arial"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948C7"/>
    <w:rsid w:val="00497B33"/>
    <w:rsid w:val="00710FBA"/>
    <w:rsid w:val="007F6E67"/>
    <w:rsid w:val="008D2B8F"/>
    <w:rsid w:val="00940089"/>
    <w:rsid w:val="00990007"/>
    <w:rsid w:val="00A04B07"/>
    <w:rsid w:val="00A13EA5"/>
    <w:rsid w:val="00A1720F"/>
    <w:rsid w:val="00AA3EBA"/>
    <w:rsid w:val="00B2228D"/>
    <w:rsid w:val="00BC7270"/>
    <w:rsid w:val="00C01D90"/>
    <w:rsid w:val="00C03E2F"/>
    <w:rsid w:val="00CA65A2"/>
    <w:rsid w:val="00CB2D71"/>
    <w:rsid w:val="00D17E43"/>
    <w:rsid w:val="00D27C66"/>
    <w:rsid w:val="00D604B4"/>
    <w:rsid w:val="00E81048"/>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116"/>
        <o:r id="V:Rule2" type="connector" idref="#_x0000_s1087"/>
        <o:r id="V:Rule3" type="connector" idref="#_x0000_s1114"/>
        <o:r id="V:Rule4" type="connector" idref="#_x0000_s1086"/>
        <o:r id="V:Rule5" type="connector" idref="#_x0000_s1115"/>
        <o:r id="V:Rule6" type="connector" idref="#_x0000_s1088"/>
        <o:r id="V:Rule7" type="connector" idref="#_x0000_s1110"/>
        <o:r id="V:Rule8" type="connector" idref="#_x0000_s1099"/>
        <o:r id="V:Rule9" type="connector" idref="#_x0000_s1111"/>
        <o:r id="V:Rule10" type="connector" idref="#_x0000_s1098"/>
        <o:r id="V:Rule11" type="connector" idref="#_x0000_s1089"/>
        <o:r id="V:Rule12" type="connector" idref="#_x0000_s1113"/>
        <o:r id="V:Rule13" type="connector" idref="#_x0000_s1112"/>
        <o:r id="V:Rule14" type="connector" idref="#_x0000_s1107"/>
        <o:r id="V:Rule15" type="connector" idref="#_x0000_s1096"/>
        <o:r id="V:Rule16" type="connector" idref="#_x0000_s1097"/>
        <o:r id="V:Rule17" type="connector" idref="#_x0000_s1106"/>
        <o:r id="V:Rule18" type="connector" idref="#_x0000_s1095"/>
        <o:r id="V:Rule19" type="connector" idref="#_x0000_s1104"/>
        <o:r id="V:Rule20" type="connector" idref="#_x0000_s1105"/>
        <o:r id="V:Rule21" type="connector" idref="#_x0000_s1094"/>
        <o:r id="V:Rule22" type="connector" idref="#_x0000_s1091"/>
        <o:r id="V:Rule23" type="connector" idref="#_x0000_s1100"/>
        <o:r id="V:Rule24" type="connector" idref="#_x0000_s1109"/>
        <o:r id="V:Rule25" type="connector" idref="#_x0000_s1101"/>
        <o:r id="V:Rule26" type="connector" idref="#_x0000_s1108"/>
        <o:r id="V:Rule27" type="connector" idref="#_x0000_s1090"/>
        <o:r id="V:Rule28" type="connector" idref="#_x0000_s1103"/>
        <o:r id="V:Rule29" type="connector" idref="#_x0000_s1092"/>
        <o:r id="V:Rule30" type="connector" idref="#_x0000_s1093"/>
        <o:r id="V:Rule31" type="connector" idref="#_x0000_s1102"/>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qFormat/>
    <w:rsid w:val="00AF0C2B"/>
    <w:rPr>
      <w:rFonts w:ascii="Arial" w:hAnsi="Arial" w:cs="Times New Roman" w:hint="default"/>
      <w:color w:val="0000FF"/>
      <w:sz w:val="24"/>
      <w:u w:val="single"/>
    </w:rPr>
  </w:style>
  <w:style w:type="character" w:styleId="Emphasis">
    <w:name w:val="Emphasis"/>
    <w:basedOn w:val="DefaultParagraphFont"/>
    <w:uiPriority w:val="20"/>
    <w:qFormat/>
    <w:rsid w:val="00AF0C2B"/>
    <w:rPr>
      <w:rFonts w:ascii="Times New Roman" w:hAnsi="Times New Roman" w:cs="Times New Roman" w:hint="default"/>
      <w:b/>
      <w:bCs w:val="0"/>
      <w:i/>
      <w:iCs/>
      <w:color w:val="0070C0"/>
    </w:rPr>
  </w:style>
  <w:style w:type="paragraph" w:styleId="PlainText">
    <w:name w:val="Plain Text"/>
    <w:basedOn w:val="Normal"/>
    <w:link w:val="PlainTextChar"/>
    <w:uiPriority w:val="99"/>
    <w:semiHidden/>
    <w:unhideWhenUsed/>
    <w:rsid w:val="00AF0C2B"/>
    <w:rPr>
      <w:rFonts w:ascii="Consolas" w:eastAsia="Calibri" w:hAnsi="Consolas"/>
      <w:sz w:val="21"/>
      <w:szCs w:val="21"/>
    </w:rPr>
  </w:style>
  <w:style w:type="character" w:customStyle="1" w:styleId="PlainTextChar">
    <w:name w:val="Plain Text Char"/>
    <w:basedOn w:val="DefaultParagraphFont"/>
    <w:link w:val="PlainText"/>
    <w:uiPriority w:val="99"/>
    <w:semiHidden/>
    <w:rsid w:val="00AF0C2B"/>
    <w:rPr>
      <w:rFonts w:ascii="Consolas" w:eastAsia="Calibri" w:hAnsi="Consolas"/>
      <w:sz w:val="21"/>
      <w:szCs w:val="21"/>
    </w:rPr>
  </w:style>
  <w:style w:type="character" w:customStyle="1" w:styleId="ListParagraphChar">
    <w:name w:val="List Paragraph Char"/>
    <w:basedOn w:val="DefaultParagraphFont"/>
    <w:link w:val="ListParagraph"/>
    <w:uiPriority w:val="34"/>
    <w:locked/>
    <w:rsid w:val="00AF0C2B"/>
  </w:style>
  <w:style w:type="paragraph" w:customStyle="1" w:styleId="Lista">
    <w:name w:val="List a"/>
    <w:aliases w:val="b,c"/>
    <w:basedOn w:val="Normal"/>
    <w:qFormat/>
    <w:rsid w:val="00AF0C2B"/>
    <w:pPr>
      <w:numPr>
        <w:numId w:val="1"/>
      </w:numPr>
    </w:pPr>
  </w:style>
  <w:style w:type="paragraph" w:customStyle="1" w:styleId="AppendixHeading">
    <w:name w:val="Appendix Heading"/>
    <w:basedOn w:val="Normal"/>
    <w:next w:val="Normal"/>
    <w:qFormat/>
    <w:rsid w:val="00AF0C2B"/>
    <w:pPr>
      <w:numPr>
        <w:numId w:val="2"/>
      </w:numPr>
      <w:spacing w:before="240" w:after="60"/>
    </w:pPr>
    <w:rPr>
      <w:b/>
    </w:rPr>
  </w:style>
  <w:style w:type="paragraph" w:customStyle="1" w:styleId="AppendixHeading2">
    <w:name w:val="Appendix Heading 2"/>
    <w:basedOn w:val="Normal"/>
    <w:next w:val="Normal"/>
    <w:qFormat/>
    <w:rsid w:val="00AF0C2B"/>
    <w:pPr>
      <w:numPr>
        <w:ilvl w:val="1"/>
        <w:numId w:val="2"/>
      </w:numPr>
      <w:spacing w:before="240" w:after="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5110">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file:///Q:\Acquisition%20Business%20Service\Dan%20C\Golden%20Age\VA101-14-I-0097.docx" TargetMode="External"/><Relationship Id="rId18" Type="http://schemas.openxmlformats.org/officeDocument/2006/relationships/hyperlink" Target="file:///Q:\Acquisition%20Business%20Service\Dan%20C\Golden%20Age\VA101-14-I-0097.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x.antd.nist.gov/usgv6/index.html" TargetMode="External"/><Relationship Id="rId7" Type="http://schemas.openxmlformats.org/officeDocument/2006/relationships/endnotes" Target="endnotes.xml"/><Relationship Id="rId12" Type="http://schemas.openxmlformats.org/officeDocument/2006/relationships/hyperlink" Target="file:///Q:\Acquisition%20Business%20Service\Dan%20C\Golden%20Age\VA101-14-I-0097.docx" TargetMode="External"/><Relationship Id="rId17" Type="http://schemas.openxmlformats.org/officeDocument/2006/relationships/hyperlink" Target="file:///Q:\Acquisition%20Business%20Service\Dan%20C\Golden%20Age\VA101-14-I-0097.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Q:\Acquisition%20Business%20Service\Dan%20C\Golden%20Age\VA101-14-I-0097.docx" TargetMode="External"/><Relationship Id="rId20" Type="http://schemas.openxmlformats.org/officeDocument/2006/relationships/hyperlink" Target="https://cio.gov/wp-content/uploads/downloads/2012/09/Transition-to-IPv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Q:\Acquisition%20Business%20Service\Dan%20C\Golden%20Age\VA101-14-I-0097.docx" TargetMode="External"/><Relationship Id="rId24" Type="http://schemas.openxmlformats.org/officeDocument/2006/relationships/hyperlink" Target="https://www.voa.va.gov/" TargetMode="External"/><Relationship Id="rId5" Type="http://schemas.openxmlformats.org/officeDocument/2006/relationships/webSettings" Target="webSettings.xml"/><Relationship Id="rId15" Type="http://schemas.openxmlformats.org/officeDocument/2006/relationships/hyperlink" Target="file:///Q:\Acquisition%20Business%20Service\Dan%20C\Golden%20Age\VA101-14-I-0097.docx" TargetMode="External"/><Relationship Id="rId23" Type="http://schemas.openxmlformats.org/officeDocument/2006/relationships/hyperlink" Target="http://csrc.nist.gov/publications/PubsSPs.html" TargetMode="External"/><Relationship Id="rId10" Type="http://schemas.openxmlformats.org/officeDocument/2006/relationships/hyperlink" Target="file:///Q:\Acquisition%20Business%20Service\Dan%20C\Golden%20Age\VA101-14-I-0097.docx" TargetMode="External"/><Relationship Id="rId19" Type="http://schemas.openxmlformats.org/officeDocument/2006/relationships/hyperlink" Target="http://www.whitehouse.gov/sites/default/files/omb/assets/omb/memoranda/fy2005/m05-22.pdf" TargetMode="External"/><Relationship Id="rId4" Type="http://schemas.openxmlformats.org/officeDocument/2006/relationships/settings" Target="settings.xml"/><Relationship Id="rId9" Type="http://schemas.openxmlformats.org/officeDocument/2006/relationships/hyperlink" Target="file:///Q:\Acquisition%20Business%20Service\Dan%20C\Golden%20Age\VA101-14-I-0097.docx" TargetMode="External"/><Relationship Id="rId14" Type="http://schemas.openxmlformats.org/officeDocument/2006/relationships/hyperlink" Target="file:///Q:\Acquisition%20Business%20Service\Dan%20C\Golden%20Age\VA101-14-I-0097.docx" TargetMode="External"/><Relationship Id="rId22" Type="http://schemas.openxmlformats.org/officeDocument/2006/relationships/hyperlink" Target="http://www.nist.gov/itl/antd/usgv6.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Cordes, Daniel</dc:creator>
  <cp:lastModifiedBy>Cordes, Daniel</cp:lastModifiedBy>
  <cp:revision>4</cp:revision>
  <dcterms:created xsi:type="dcterms:W3CDTF">2014-03-18T20:49:00Z</dcterms:created>
  <dcterms:modified xsi:type="dcterms:W3CDTF">2014-03-18T20:50:00Z</dcterms:modified>
</cp:coreProperties>
</file>