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27" w:rsidRDefault="00E61C27" w:rsidP="00E61C27">
      <w:pPr>
        <w:jc w:val="center"/>
        <w:rPr>
          <w:b/>
        </w:rPr>
      </w:pPr>
      <w:r w:rsidRPr="00E61C27">
        <w:rPr>
          <w:b/>
        </w:rPr>
        <w:t xml:space="preserve">Configuring an LMS-Data Management Interface for </w:t>
      </w:r>
    </w:p>
    <w:p w:rsidR="00E61C27" w:rsidRDefault="00E61C27" w:rsidP="00E61C27">
      <w:pPr>
        <w:jc w:val="center"/>
        <w:rPr>
          <w:b/>
        </w:rPr>
      </w:pPr>
      <w:r w:rsidRPr="00E61C27">
        <w:rPr>
          <w:b/>
        </w:rPr>
        <w:t>Peer</w:t>
      </w:r>
      <w:r>
        <w:rPr>
          <w:b/>
        </w:rPr>
        <w:t xml:space="preserve"> </w:t>
      </w:r>
      <w:r w:rsidRPr="00E61C27">
        <w:rPr>
          <w:b/>
        </w:rPr>
        <w:t>Supported Online Courses Research</w:t>
      </w:r>
    </w:p>
    <w:p w:rsidR="00E61C27" w:rsidRDefault="00E61C27" w:rsidP="00E61C27">
      <w:pPr>
        <w:jc w:val="center"/>
        <w:rPr>
          <w:b/>
        </w:rPr>
      </w:pPr>
      <w:r>
        <w:rPr>
          <w:b/>
        </w:rPr>
        <w:t>Request for Proposal (RFP) Questions &amp; Answers (Q&amp;A)</w:t>
      </w:r>
    </w:p>
    <w:p w:rsidR="00E61C27" w:rsidRDefault="00E61C27" w:rsidP="00E61C27">
      <w:pPr>
        <w:jc w:val="center"/>
        <w:rPr>
          <w:b/>
        </w:rPr>
      </w:pPr>
      <w:r>
        <w:rPr>
          <w:b/>
        </w:rPr>
        <w:t>September 1</w:t>
      </w:r>
      <w:r w:rsidR="008E5F09">
        <w:rPr>
          <w:b/>
        </w:rPr>
        <w:t>3</w:t>
      </w:r>
      <w:bookmarkStart w:id="0" w:name="_GoBack"/>
      <w:bookmarkEnd w:id="0"/>
      <w:r>
        <w:rPr>
          <w:b/>
        </w:rPr>
        <w:t>, 2017</w:t>
      </w:r>
    </w:p>
    <w:p w:rsidR="00E61C27" w:rsidRDefault="00E61C27" w:rsidP="00E61C27">
      <w:pPr>
        <w:rPr>
          <w:b/>
        </w:rPr>
      </w:pPr>
    </w:p>
    <w:p w:rsidR="00E61C27" w:rsidRPr="00622578" w:rsidRDefault="00E61C27" w:rsidP="00E61C27">
      <w:r>
        <w:rPr>
          <w:b/>
        </w:rPr>
        <w:t>Note</w:t>
      </w:r>
      <w:r w:rsidRPr="00622578">
        <w:rPr>
          <w:b/>
        </w:rPr>
        <w:t>:</w:t>
      </w:r>
      <w:r w:rsidRPr="00622578">
        <w:t xml:space="preserve"> </w:t>
      </w:r>
    </w:p>
    <w:p w:rsidR="00E61C27" w:rsidRDefault="00E61C27" w:rsidP="00E61C27">
      <w:r w:rsidRPr="00CC180E">
        <w:t>The answers provided below are for informational purposes, to assist potential offerors in preparing proposals, and such answers do not themselves constitute an amendment to the Solicitation.  Where questions and answers necessitated such an amendment, such changes have been or will be incorporated into a formal amendment to the Solicitation.  To the extent that any answers provided below conflict in any way with the Solicitation and any Amendments, the final solicitation takes precedence.  </w:t>
      </w:r>
    </w:p>
    <w:p w:rsidR="003C73BD" w:rsidRDefault="003C73BD" w:rsidP="003C73BD">
      <w:pPr>
        <w:rPr>
          <w:rFonts w:eastAsiaTheme="minorEastAsia"/>
          <w:color w:val="333333"/>
        </w:rPr>
      </w:pPr>
    </w:p>
    <w:tbl>
      <w:tblPr>
        <w:tblStyle w:val="TableGrid"/>
        <w:tblW w:w="10763" w:type="dxa"/>
        <w:jc w:val="center"/>
        <w:tblLook w:val="04A0" w:firstRow="1" w:lastRow="0" w:firstColumn="1" w:lastColumn="0" w:noHBand="0" w:noVBand="1"/>
      </w:tblPr>
      <w:tblGrid>
        <w:gridCol w:w="972"/>
        <w:gridCol w:w="1350"/>
        <w:gridCol w:w="4050"/>
        <w:gridCol w:w="4391"/>
      </w:tblGrid>
      <w:tr w:rsidR="00E61C27" w:rsidTr="00A4484D">
        <w:trPr>
          <w:trHeight w:val="266"/>
          <w:jc w:val="center"/>
        </w:trPr>
        <w:tc>
          <w:tcPr>
            <w:tcW w:w="972" w:type="dxa"/>
            <w:shd w:val="clear" w:color="auto" w:fill="D9D9D9" w:themeFill="background1" w:themeFillShade="D9"/>
          </w:tcPr>
          <w:p w:rsidR="00E61C27" w:rsidRPr="00E61C27" w:rsidRDefault="00E61C27" w:rsidP="00E61C27">
            <w:pPr>
              <w:jc w:val="center"/>
              <w:rPr>
                <w:rFonts w:eastAsiaTheme="minorEastAsia"/>
                <w:b/>
                <w:color w:val="333333"/>
              </w:rPr>
            </w:pPr>
            <w:r>
              <w:rPr>
                <w:rFonts w:eastAsiaTheme="minorEastAsia"/>
                <w:b/>
                <w:color w:val="333333"/>
              </w:rPr>
              <w:t>Q&amp;A #</w:t>
            </w:r>
          </w:p>
        </w:tc>
        <w:tc>
          <w:tcPr>
            <w:tcW w:w="1350" w:type="dxa"/>
            <w:shd w:val="clear" w:color="auto" w:fill="D9D9D9" w:themeFill="background1" w:themeFillShade="D9"/>
          </w:tcPr>
          <w:p w:rsidR="00E61C27" w:rsidRPr="00E61C27" w:rsidRDefault="00E61C27" w:rsidP="00E61C27">
            <w:pPr>
              <w:jc w:val="center"/>
              <w:rPr>
                <w:rFonts w:eastAsiaTheme="minorEastAsia"/>
                <w:b/>
                <w:color w:val="333333"/>
              </w:rPr>
            </w:pPr>
            <w:r>
              <w:rPr>
                <w:rFonts w:eastAsiaTheme="minorEastAsia"/>
                <w:b/>
                <w:color w:val="333333"/>
              </w:rPr>
              <w:t>Reference</w:t>
            </w:r>
          </w:p>
        </w:tc>
        <w:tc>
          <w:tcPr>
            <w:tcW w:w="4050" w:type="dxa"/>
            <w:shd w:val="clear" w:color="auto" w:fill="D9D9D9" w:themeFill="background1" w:themeFillShade="D9"/>
          </w:tcPr>
          <w:p w:rsidR="00E61C27" w:rsidRPr="00E61C27" w:rsidRDefault="00E61C27" w:rsidP="00E61C27">
            <w:pPr>
              <w:jc w:val="center"/>
              <w:rPr>
                <w:rFonts w:eastAsiaTheme="minorEastAsia"/>
                <w:b/>
                <w:color w:val="333333"/>
              </w:rPr>
            </w:pPr>
            <w:r>
              <w:rPr>
                <w:rFonts w:eastAsiaTheme="minorEastAsia"/>
                <w:b/>
                <w:color w:val="333333"/>
              </w:rPr>
              <w:t>Question</w:t>
            </w:r>
          </w:p>
        </w:tc>
        <w:tc>
          <w:tcPr>
            <w:tcW w:w="4391" w:type="dxa"/>
            <w:shd w:val="clear" w:color="auto" w:fill="D9D9D9" w:themeFill="background1" w:themeFillShade="D9"/>
          </w:tcPr>
          <w:p w:rsidR="00E61C27" w:rsidRPr="00E61C27" w:rsidRDefault="00E61C27" w:rsidP="00E61C27">
            <w:pPr>
              <w:jc w:val="center"/>
              <w:rPr>
                <w:rFonts w:eastAsiaTheme="minorEastAsia"/>
                <w:b/>
                <w:color w:val="333333"/>
              </w:rPr>
            </w:pPr>
            <w:r>
              <w:rPr>
                <w:rFonts w:eastAsiaTheme="minorEastAsia"/>
                <w:b/>
                <w:color w:val="333333"/>
              </w:rPr>
              <w:t>Answer</w:t>
            </w:r>
          </w:p>
        </w:tc>
      </w:tr>
      <w:tr w:rsidR="00E61C27" w:rsidTr="00A4484D">
        <w:trPr>
          <w:trHeight w:val="266"/>
          <w:jc w:val="center"/>
        </w:trPr>
        <w:tc>
          <w:tcPr>
            <w:tcW w:w="972" w:type="dxa"/>
          </w:tcPr>
          <w:p w:rsidR="00E61C27" w:rsidRDefault="008A508B" w:rsidP="003C73BD">
            <w:pPr>
              <w:rPr>
                <w:rFonts w:eastAsiaTheme="minorEastAsia"/>
                <w:color w:val="333333"/>
              </w:rPr>
            </w:pPr>
            <w:r>
              <w:rPr>
                <w:rFonts w:eastAsiaTheme="minorEastAsia"/>
                <w:color w:val="333333"/>
              </w:rPr>
              <w:t>1</w:t>
            </w:r>
          </w:p>
        </w:tc>
        <w:tc>
          <w:tcPr>
            <w:tcW w:w="1350" w:type="dxa"/>
          </w:tcPr>
          <w:p w:rsidR="00E61C27" w:rsidRDefault="00DE215C" w:rsidP="00122B3A">
            <w:pPr>
              <w:rPr>
                <w:rFonts w:eastAsiaTheme="minorEastAsia"/>
                <w:color w:val="333333"/>
              </w:rPr>
            </w:pPr>
            <w:r>
              <w:rPr>
                <w:rFonts w:eastAsiaTheme="minorEastAsia"/>
                <w:color w:val="333333"/>
              </w:rPr>
              <w:t>General</w:t>
            </w:r>
          </w:p>
        </w:tc>
        <w:tc>
          <w:tcPr>
            <w:tcW w:w="4050" w:type="dxa"/>
          </w:tcPr>
          <w:p w:rsidR="008A508B" w:rsidRPr="008A508B" w:rsidRDefault="000B0A52" w:rsidP="00122B3A">
            <w:pPr>
              <w:rPr>
                <w:rFonts w:eastAsiaTheme="minorEastAsia"/>
                <w:color w:val="333333"/>
              </w:rPr>
            </w:pPr>
            <w:r w:rsidRPr="000B0A52">
              <w:rPr>
                <w:rFonts w:eastAsiaTheme="minorEastAsia"/>
                <w:color w:val="333333"/>
              </w:rPr>
              <w:t>Is the Learning Log a required function? (AIMS only)</w:t>
            </w:r>
          </w:p>
        </w:tc>
        <w:tc>
          <w:tcPr>
            <w:tcW w:w="4391" w:type="dxa"/>
          </w:tcPr>
          <w:p w:rsidR="00E61C27" w:rsidRPr="00E61C27" w:rsidRDefault="000B0A52" w:rsidP="00E61C27">
            <w:pPr>
              <w:rPr>
                <w:rFonts w:eastAsiaTheme="minorEastAsia"/>
                <w:color w:val="333333"/>
              </w:rPr>
            </w:pPr>
            <w:r>
              <w:rPr>
                <w:rFonts w:eastAsiaTheme="minorEastAsia"/>
                <w:color w:val="333333"/>
              </w:rPr>
              <w:t xml:space="preserve">No. </w:t>
            </w:r>
            <w:r w:rsidRPr="000B0A52">
              <w:rPr>
                <w:rFonts w:eastAsiaTheme="minorEastAsia"/>
                <w:color w:val="333333"/>
              </w:rPr>
              <w:t>Refer to Appendix A - LMS REDCap Requirements.</w:t>
            </w:r>
          </w:p>
        </w:tc>
      </w:tr>
      <w:tr w:rsidR="000B0A52" w:rsidTr="00A4484D">
        <w:trPr>
          <w:trHeight w:val="266"/>
          <w:jc w:val="center"/>
        </w:trPr>
        <w:tc>
          <w:tcPr>
            <w:tcW w:w="972" w:type="dxa"/>
          </w:tcPr>
          <w:p w:rsidR="000B0A52" w:rsidRDefault="000B0A52" w:rsidP="003C73BD">
            <w:pPr>
              <w:rPr>
                <w:rFonts w:eastAsiaTheme="minorEastAsia"/>
                <w:color w:val="333333"/>
              </w:rPr>
            </w:pPr>
            <w:r>
              <w:rPr>
                <w:rFonts w:eastAsiaTheme="minorEastAsia"/>
                <w:color w:val="333333"/>
              </w:rPr>
              <w:t>2</w:t>
            </w:r>
          </w:p>
        </w:tc>
        <w:tc>
          <w:tcPr>
            <w:tcW w:w="1350" w:type="dxa"/>
          </w:tcPr>
          <w:p w:rsidR="000B0A52" w:rsidRDefault="00DE215C" w:rsidP="00122B3A">
            <w:pPr>
              <w:rPr>
                <w:rFonts w:eastAsiaTheme="minorEastAsia"/>
                <w:color w:val="333333"/>
              </w:rPr>
            </w:pPr>
            <w:r>
              <w:rPr>
                <w:rFonts w:eastAsiaTheme="minorEastAsia"/>
                <w:color w:val="333333"/>
              </w:rPr>
              <w:t>PWS 5.4</w:t>
            </w:r>
          </w:p>
        </w:tc>
        <w:tc>
          <w:tcPr>
            <w:tcW w:w="4050" w:type="dxa"/>
          </w:tcPr>
          <w:p w:rsidR="000B0A52" w:rsidRPr="000B0A52" w:rsidRDefault="000B0A52" w:rsidP="000B0A52">
            <w:pPr>
              <w:rPr>
                <w:rFonts w:eastAsiaTheme="minorEastAsia"/>
                <w:color w:val="333333"/>
              </w:rPr>
            </w:pPr>
            <w:r w:rsidRPr="000B0A52">
              <w:rPr>
                <w:rFonts w:eastAsiaTheme="minorEastAsia"/>
                <w:color w:val="333333"/>
              </w:rPr>
              <w:t>Should we assume the LMS will be Software as a Service (SaaS) and that the government will purchase the software license and software support from the vendor?</w:t>
            </w:r>
          </w:p>
        </w:tc>
        <w:tc>
          <w:tcPr>
            <w:tcW w:w="4391" w:type="dxa"/>
          </w:tcPr>
          <w:p w:rsidR="000B0A52" w:rsidRDefault="000B0A52" w:rsidP="00E61C27">
            <w:pPr>
              <w:rPr>
                <w:rFonts w:eastAsiaTheme="minorEastAsia"/>
                <w:color w:val="333333"/>
              </w:rPr>
            </w:pPr>
            <w:r>
              <w:rPr>
                <w:rFonts w:eastAsiaTheme="minorEastAsia"/>
                <w:color w:val="333333"/>
              </w:rPr>
              <w:t>The LMS will be SaaS, the Offeror is expected to provide the software license and support for a period of 6 months to support the study for a maximum of 120 users.  Section B.5 Price Schedule has included CLIN 0004AD for pricing.</w:t>
            </w:r>
          </w:p>
        </w:tc>
      </w:tr>
      <w:tr w:rsidR="000B0A52" w:rsidTr="00A4484D">
        <w:trPr>
          <w:trHeight w:val="266"/>
          <w:jc w:val="center"/>
        </w:trPr>
        <w:tc>
          <w:tcPr>
            <w:tcW w:w="972" w:type="dxa"/>
          </w:tcPr>
          <w:p w:rsidR="000B0A52" w:rsidRDefault="000B0A52" w:rsidP="003C73BD">
            <w:pPr>
              <w:rPr>
                <w:rFonts w:eastAsiaTheme="minorEastAsia"/>
                <w:color w:val="333333"/>
              </w:rPr>
            </w:pPr>
            <w:r>
              <w:rPr>
                <w:rFonts w:eastAsiaTheme="minorEastAsia"/>
                <w:color w:val="333333"/>
              </w:rPr>
              <w:t>3</w:t>
            </w:r>
          </w:p>
        </w:tc>
        <w:tc>
          <w:tcPr>
            <w:tcW w:w="1350" w:type="dxa"/>
          </w:tcPr>
          <w:p w:rsidR="000B0A52" w:rsidRDefault="00DE215C" w:rsidP="00122B3A">
            <w:pPr>
              <w:rPr>
                <w:rFonts w:eastAsiaTheme="minorEastAsia"/>
                <w:color w:val="333333"/>
              </w:rPr>
            </w:pPr>
            <w:r>
              <w:rPr>
                <w:rFonts w:eastAsiaTheme="minorEastAsia"/>
                <w:color w:val="333333"/>
              </w:rPr>
              <w:t>PWS 5.4</w:t>
            </w:r>
          </w:p>
        </w:tc>
        <w:tc>
          <w:tcPr>
            <w:tcW w:w="4050" w:type="dxa"/>
          </w:tcPr>
          <w:p w:rsidR="000B0A52" w:rsidRPr="000B0A52" w:rsidRDefault="000B0A52" w:rsidP="00122B3A">
            <w:pPr>
              <w:rPr>
                <w:rFonts w:eastAsiaTheme="minorEastAsia"/>
                <w:color w:val="333333"/>
              </w:rPr>
            </w:pPr>
            <w:r w:rsidRPr="000B0A52">
              <w:rPr>
                <w:rFonts w:eastAsiaTheme="minorEastAsia"/>
                <w:color w:val="333333"/>
              </w:rPr>
              <w:t>Does the government expect the contractor pay for to the software license and software support from the LMS vendor out of the firm fixed amount? Which CLIN would be the best to covers this?</w:t>
            </w:r>
          </w:p>
        </w:tc>
        <w:tc>
          <w:tcPr>
            <w:tcW w:w="4391" w:type="dxa"/>
          </w:tcPr>
          <w:p w:rsidR="000B0A52" w:rsidRDefault="000B0A52" w:rsidP="000B0A52">
            <w:pPr>
              <w:rPr>
                <w:rFonts w:eastAsiaTheme="minorEastAsia"/>
                <w:color w:val="333333"/>
              </w:rPr>
            </w:pPr>
            <w:r>
              <w:rPr>
                <w:rFonts w:eastAsiaTheme="minorEastAsia"/>
                <w:color w:val="333333"/>
              </w:rPr>
              <w:t>Yes, see above answer.</w:t>
            </w:r>
          </w:p>
        </w:tc>
      </w:tr>
      <w:tr w:rsidR="000B0A52" w:rsidTr="00A4484D">
        <w:trPr>
          <w:trHeight w:val="266"/>
          <w:jc w:val="center"/>
        </w:trPr>
        <w:tc>
          <w:tcPr>
            <w:tcW w:w="972" w:type="dxa"/>
          </w:tcPr>
          <w:p w:rsidR="000B0A52" w:rsidRDefault="00DE215C" w:rsidP="003C73BD">
            <w:pPr>
              <w:rPr>
                <w:rFonts w:eastAsiaTheme="minorEastAsia"/>
                <w:color w:val="333333"/>
              </w:rPr>
            </w:pPr>
            <w:r>
              <w:rPr>
                <w:rFonts w:eastAsiaTheme="minorEastAsia"/>
                <w:color w:val="333333"/>
              </w:rPr>
              <w:t>4</w:t>
            </w:r>
          </w:p>
        </w:tc>
        <w:tc>
          <w:tcPr>
            <w:tcW w:w="1350" w:type="dxa"/>
          </w:tcPr>
          <w:p w:rsidR="000B0A52" w:rsidRDefault="00DE215C" w:rsidP="00122B3A">
            <w:pPr>
              <w:rPr>
                <w:rFonts w:eastAsiaTheme="minorEastAsia"/>
                <w:color w:val="333333"/>
              </w:rPr>
            </w:pPr>
            <w:r>
              <w:rPr>
                <w:rFonts w:eastAsiaTheme="minorEastAsia"/>
                <w:color w:val="333333"/>
              </w:rPr>
              <w:t>PWS 5.4</w:t>
            </w:r>
          </w:p>
        </w:tc>
        <w:tc>
          <w:tcPr>
            <w:tcW w:w="4050" w:type="dxa"/>
          </w:tcPr>
          <w:p w:rsidR="000B0A52" w:rsidRPr="000B0A52" w:rsidRDefault="000B0A52" w:rsidP="000B0A52">
            <w:pPr>
              <w:rPr>
                <w:rFonts w:eastAsiaTheme="minorEastAsia"/>
                <w:color w:val="333333"/>
              </w:rPr>
            </w:pPr>
            <w:r w:rsidRPr="000B0A52">
              <w:rPr>
                <w:rFonts w:eastAsiaTheme="minorEastAsia"/>
                <w:color w:val="333333"/>
              </w:rPr>
              <w:t>Is it possible to change CLIN 004AB from $30/each to $10/each and to change the quantity from 120 to 360? (The total will remain the same: NTE $3,600)</w:t>
            </w:r>
            <w:r>
              <w:rPr>
                <w:rFonts w:eastAsiaTheme="minorEastAsia"/>
                <w:color w:val="333333"/>
              </w:rPr>
              <w:br/>
            </w:r>
          </w:p>
          <w:p w:rsidR="000B0A52" w:rsidRPr="000B0A52" w:rsidRDefault="000B0A52" w:rsidP="000B0A52">
            <w:pPr>
              <w:rPr>
                <w:rFonts w:eastAsiaTheme="minorEastAsia"/>
                <w:color w:val="333333"/>
              </w:rPr>
            </w:pPr>
            <w:r w:rsidRPr="000B0A52">
              <w:rPr>
                <w:rFonts w:eastAsiaTheme="minorEastAsia"/>
                <w:color w:val="333333"/>
              </w:rPr>
              <w:t>The assumption is the participant will received a $10 gift card at (3) separate and unique time points. It is also assumed the participate may not complete all (3) milestones. If this is an inaccurate assumption e.g. the participate must complete all three assessments to receive any of the gift cards then feel free to disregard this request and update the following paragraph as needed:</w:t>
            </w:r>
          </w:p>
        </w:tc>
        <w:tc>
          <w:tcPr>
            <w:tcW w:w="4391" w:type="dxa"/>
          </w:tcPr>
          <w:p w:rsidR="000B0A52" w:rsidRDefault="00DE215C" w:rsidP="00DE215C">
            <w:pPr>
              <w:rPr>
                <w:rFonts w:eastAsiaTheme="minorEastAsia"/>
                <w:color w:val="333333"/>
              </w:rPr>
            </w:pPr>
            <w:r>
              <w:rPr>
                <w:rFonts w:eastAsiaTheme="minorEastAsia"/>
                <w:color w:val="333333"/>
              </w:rPr>
              <w:t>The requested change is not desirable. Participants will be compensated via gift cards at the end of the entire study/after the three assessments.  The gift card amount will be determined by how many of the assessments the participant has completed ($10 for one, $20 for two, $30 for three).</w:t>
            </w:r>
          </w:p>
        </w:tc>
      </w:tr>
      <w:tr w:rsidR="000B0A52" w:rsidTr="00A4484D">
        <w:trPr>
          <w:trHeight w:val="266"/>
          <w:jc w:val="center"/>
        </w:trPr>
        <w:tc>
          <w:tcPr>
            <w:tcW w:w="972" w:type="dxa"/>
          </w:tcPr>
          <w:p w:rsidR="000B0A52" w:rsidRDefault="00DE215C" w:rsidP="003C73BD">
            <w:pPr>
              <w:rPr>
                <w:rFonts w:eastAsiaTheme="minorEastAsia"/>
                <w:color w:val="333333"/>
              </w:rPr>
            </w:pPr>
            <w:r>
              <w:rPr>
                <w:rFonts w:eastAsiaTheme="minorEastAsia"/>
                <w:color w:val="333333"/>
              </w:rPr>
              <w:t>5</w:t>
            </w:r>
          </w:p>
        </w:tc>
        <w:tc>
          <w:tcPr>
            <w:tcW w:w="1350" w:type="dxa"/>
          </w:tcPr>
          <w:p w:rsidR="000B0A52" w:rsidRDefault="00DE215C" w:rsidP="00122B3A">
            <w:pPr>
              <w:rPr>
                <w:rFonts w:eastAsiaTheme="minorEastAsia"/>
                <w:color w:val="333333"/>
              </w:rPr>
            </w:pPr>
            <w:r>
              <w:rPr>
                <w:rFonts w:eastAsiaTheme="minorEastAsia"/>
                <w:color w:val="333333"/>
              </w:rPr>
              <w:t>PWS 5.4</w:t>
            </w:r>
          </w:p>
        </w:tc>
        <w:tc>
          <w:tcPr>
            <w:tcW w:w="4050" w:type="dxa"/>
          </w:tcPr>
          <w:p w:rsidR="00DE215C" w:rsidRPr="00DE215C" w:rsidRDefault="00DE215C" w:rsidP="00DE215C">
            <w:pPr>
              <w:rPr>
                <w:rFonts w:eastAsiaTheme="minorEastAsia"/>
                <w:color w:val="333333"/>
              </w:rPr>
            </w:pPr>
            <w:r w:rsidRPr="00DE215C">
              <w:rPr>
                <w:rFonts w:eastAsiaTheme="minorEastAsia"/>
                <w:color w:val="333333"/>
              </w:rPr>
              <w:t xml:space="preserve">Does NC-PTSC plan to perform the </w:t>
            </w:r>
            <w:r w:rsidRPr="00DE215C">
              <w:rPr>
                <w:rFonts w:eastAsiaTheme="minorEastAsia"/>
                <w:color w:val="333333"/>
              </w:rPr>
              <w:lastRenderedPageBreak/>
              <w:t>veteran recruiting?  There are multiple sentences in the PWS that are ambiguous and seem contradictory.</w:t>
            </w:r>
          </w:p>
          <w:p w:rsidR="000B0A52" w:rsidRPr="000B0A52" w:rsidRDefault="00DE215C" w:rsidP="00DE215C">
            <w:pPr>
              <w:rPr>
                <w:rFonts w:eastAsiaTheme="minorEastAsia"/>
                <w:color w:val="333333"/>
              </w:rPr>
            </w:pPr>
            <w:r w:rsidRPr="00DE215C">
              <w:rPr>
                <w:rFonts w:eastAsiaTheme="minorEastAsia"/>
                <w:color w:val="333333"/>
              </w:rPr>
              <w:t>Example: "Community Veterans are to be recruited by NC-PTSD via social media marketing."</w:t>
            </w:r>
          </w:p>
        </w:tc>
        <w:tc>
          <w:tcPr>
            <w:tcW w:w="4391" w:type="dxa"/>
          </w:tcPr>
          <w:p w:rsidR="000B0A52" w:rsidRDefault="00DE215C" w:rsidP="000B0A52">
            <w:pPr>
              <w:rPr>
                <w:rFonts w:eastAsiaTheme="minorEastAsia"/>
                <w:color w:val="333333"/>
              </w:rPr>
            </w:pPr>
            <w:r w:rsidRPr="00DE215C">
              <w:rPr>
                <w:rFonts w:eastAsiaTheme="minorEastAsia"/>
                <w:color w:val="333333"/>
              </w:rPr>
              <w:lastRenderedPageBreak/>
              <w:t xml:space="preserve">The Contractor is required to provide the </w:t>
            </w:r>
            <w:r w:rsidRPr="00DE215C">
              <w:rPr>
                <w:rFonts w:eastAsiaTheme="minorEastAsia"/>
                <w:color w:val="333333"/>
              </w:rPr>
              <w:lastRenderedPageBreak/>
              <w:t>social media marketing medium for a period of six months.  NC-PTSD shall be responsible for all marketing content, managing of marketing, marketing campaigns, and Veteran recruiting via the provided social media medium.  The Contractor shall not be responsible for any marketing campaigns or marketing media.  The Contractor is not responsible for recruiting Veterans. NC-PTSD shall manage all marketing.</w:t>
            </w:r>
          </w:p>
        </w:tc>
      </w:tr>
      <w:tr w:rsidR="000B0A52" w:rsidTr="00A4484D">
        <w:trPr>
          <w:trHeight w:val="266"/>
          <w:jc w:val="center"/>
        </w:trPr>
        <w:tc>
          <w:tcPr>
            <w:tcW w:w="972" w:type="dxa"/>
          </w:tcPr>
          <w:p w:rsidR="000B0A52" w:rsidRDefault="00DE215C" w:rsidP="003C73BD">
            <w:pPr>
              <w:rPr>
                <w:rFonts w:eastAsiaTheme="minorEastAsia"/>
                <w:color w:val="333333"/>
              </w:rPr>
            </w:pPr>
            <w:r>
              <w:rPr>
                <w:rFonts w:eastAsiaTheme="minorEastAsia"/>
                <w:color w:val="333333"/>
              </w:rPr>
              <w:lastRenderedPageBreak/>
              <w:t>6</w:t>
            </w:r>
          </w:p>
        </w:tc>
        <w:tc>
          <w:tcPr>
            <w:tcW w:w="1350" w:type="dxa"/>
          </w:tcPr>
          <w:p w:rsidR="000B0A52" w:rsidRDefault="00DE215C" w:rsidP="00122B3A">
            <w:pPr>
              <w:rPr>
                <w:rFonts w:eastAsiaTheme="minorEastAsia"/>
                <w:color w:val="333333"/>
              </w:rPr>
            </w:pPr>
            <w:r>
              <w:rPr>
                <w:rFonts w:eastAsiaTheme="minorEastAsia"/>
                <w:color w:val="333333"/>
              </w:rPr>
              <w:t>PWS 5.4</w:t>
            </w:r>
          </w:p>
        </w:tc>
        <w:tc>
          <w:tcPr>
            <w:tcW w:w="4050" w:type="dxa"/>
          </w:tcPr>
          <w:p w:rsidR="000B0A52" w:rsidRPr="000B0A52" w:rsidRDefault="00DE215C" w:rsidP="00122B3A">
            <w:pPr>
              <w:rPr>
                <w:rFonts w:eastAsiaTheme="minorEastAsia"/>
                <w:color w:val="333333"/>
              </w:rPr>
            </w:pPr>
            <w:r w:rsidRPr="00DE215C">
              <w:rPr>
                <w:rFonts w:eastAsiaTheme="minorEastAsia"/>
                <w:color w:val="333333"/>
              </w:rPr>
              <w:t>Can we assume the Peer Support Specialist is not required until the 5th or 6th month into the contract? The first part of the contract is very technical in nature and the research study and support efforts do not start until the technology and courses are ready.</w:t>
            </w:r>
          </w:p>
        </w:tc>
        <w:tc>
          <w:tcPr>
            <w:tcW w:w="4391" w:type="dxa"/>
          </w:tcPr>
          <w:p w:rsidR="000B0A52" w:rsidRDefault="00DE215C" w:rsidP="000B0A52">
            <w:pPr>
              <w:rPr>
                <w:rFonts w:eastAsiaTheme="minorEastAsia"/>
                <w:color w:val="333333"/>
              </w:rPr>
            </w:pPr>
            <w:r w:rsidRPr="00DE215C">
              <w:rPr>
                <w:rFonts w:eastAsiaTheme="minorEastAsia"/>
                <w:color w:val="333333"/>
              </w:rPr>
              <w:t>The Peer Support Specialist shall not be required until the LMS/REDCap integration is fully implemented, integrated, and tested in accordance with PWS 5.3.  The Peer Support Specialist shall be required for the six month study. It is not necessary for PWS 5.5 to be completed for the study to begin. In other words, the study can be conducted with MF and AIMS running on desktop and laptop computers only.</w:t>
            </w:r>
          </w:p>
        </w:tc>
      </w:tr>
      <w:tr w:rsidR="00DE215C" w:rsidTr="00A4484D">
        <w:trPr>
          <w:trHeight w:val="266"/>
          <w:jc w:val="center"/>
        </w:trPr>
        <w:tc>
          <w:tcPr>
            <w:tcW w:w="972" w:type="dxa"/>
          </w:tcPr>
          <w:p w:rsidR="00DE215C" w:rsidRDefault="00DE215C" w:rsidP="003C73BD">
            <w:pPr>
              <w:rPr>
                <w:rFonts w:eastAsiaTheme="minorEastAsia"/>
                <w:color w:val="333333"/>
              </w:rPr>
            </w:pPr>
            <w:r>
              <w:rPr>
                <w:rFonts w:eastAsiaTheme="minorEastAsia"/>
                <w:color w:val="333333"/>
              </w:rPr>
              <w:t>7</w:t>
            </w:r>
          </w:p>
        </w:tc>
        <w:tc>
          <w:tcPr>
            <w:tcW w:w="1350" w:type="dxa"/>
          </w:tcPr>
          <w:p w:rsidR="00DE215C" w:rsidRDefault="00DE215C" w:rsidP="00122B3A">
            <w:pPr>
              <w:rPr>
                <w:rFonts w:eastAsiaTheme="minorEastAsia"/>
                <w:color w:val="333333"/>
              </w:rPr>
            </w:pPr>
            <w:r>
              <w:rPr>
                <w:rFonts w:eastAsiaTheme="minorEastAsia"/>
                <w:color w:val="333333"/>
              </w:rPr>
              <w:t>PWS 5.4</w:t>
            </w:r>
          </w:p>
        </w:tc>
        <w:tc>
          <w:tcPr>
            <w:tcW w:w="4050" w:type="dxa"/>
          </w:tcPr>
          <w:p w:rsidR="00DE215C" w:rsidRPr="00DE215C" w:rsidRDefault="00DE215C" w:rsidP="00122B3A">
            <w:pPr>
              <w:rPr>
                <w:rFonts w:eastAsiaTheme="minorEastAsia"/>
                <w:color w:val="333333"/>
              </w:rPr>
            </w:pPr>
            <w:r w:rsidRPr="00DE215C">
              <w:rPr>
                <w:rFonts w:eastAsiaTheme="minorEastAsia"/>
                <w:color w:val="333333"/>
              </w:rPr>
              <w:t>Can the Peer Support Specialist be a paid contractor employee (meeting all qualifications listed in the PWS and referenced documentation) or is the Peer Support Specialist required to be a volunteer?</w:t>
            </w:r>
          </w:p>
        </w:tc>
        <w:tc>
          <w:tcPr>
            <w:tcW w:w="4391" w:type="dxa"/>
          </w:tcPr>
          <w:p w:rsidR="00DE215C" w:rsidRPr="00DE215C" w:rsidRDefault="00DE215C" w:rsidP="000B0A52">
            <w:pPr>
              <w:rPr>
                <w:rFonts w:eastAsiaTheme="minorEastAsia"/>
                <w:color w:val="333333"/>
              </w:rPr>
            </w:pPr>
            <w:r w:rsidRPr="00DE215C">
              <w:rPr>
                <w:rFonts w:eastAsiaTheme="minorEastAsia"/>
                <w:color w:val="333333"/>
              </w:rPr>
              <w:t>The Veteran Peer Support Specialist is not required to be a volunteer.  VA requires that persons involved in collection of research data that includes private information to have some employee status at VA. Since the Peer Support Specialist will be paid by the Vendor and not be VA, that person will have a status of Without Compensation (WOC) at VA.</w:t>
            </w:r>
          </w:p>
        </w:tc>
      </w:tr>
    </w:tbl>
    <w:p w:rsidR="007E1668" w:rsidRPr="003C73BD" w:rsidRDefault="007E1668" w:rsidP="00A4484D">
      <w:pPr>
        <w:pStyle w:val="ListParagraph"/>
      </w:pPr>
    </w:p>
    <w:sectPr w:rsidR="007E1668" w:rsidRPr="003C7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F2" w:rsidRDefault="005210F2" w:rsidP="005210F2">
      <w:r>
        <w:separator/>
      </w:r>
    </w:p>
  </w:endnote>
  <w:endnote w:type="continuationSeparator" w:id="0">
    <w:p w:rsidR="005210F2" w:rsidRDefault="005210F2" w:rsidP="0052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F2" w:rsidRDefault="005210F2" w:rsidP="005210F2">
      <w:r>
        <w:separator/>
      </w:r>
    </w:p>
  </w:footnote>
  <w:footnote w:type="continuationSeparator" w:id="0">
    <w:p w:rsidR="005210F2" w:rsidRDefault="005210F2" w:rsidP="00521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2C2"/>
    <w:multiLevelType w:val="hybridMultilevel"/>
    <w:tmpl w:val="48205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C6669"/>
    <w:multiLevelType w:val="hybridMultilevel"/>
    <w:tmpl w:val="6F766200"/>
    <w:lvl w:ilvl="0" w:tplc="2F9A8BD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B1ACC"/>
    <w:multiLevelType w:val="hybridMultilevel"/>
    <w:tmpl w:val="9DD69118"/>
    <w:lvl w:ilvl="0" w:tplc="DD42DCB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31256"/>
    <w:multiLevelType w:val="hybridMultilevel"/>
    <w:tmpl w:val="470E68AA"/>
    <w:lvl w:ilvl="0" w:tplc="9B90614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27980"/>
    <w:multiLevelType w:val="hybridMultilevel"/>
    <w:tmpl w:val="08A2A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3B151D"/>
    <w:multiLevelType w:val="hybridMultilevel"/>
    <w:tmpl w:val="12583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F689C"/>
    <w:multiLevelType w:val="hybridMultilevel"/>
    <w:tmpl w:val="D59AEDBA"/>
    <w:lvl w:ilvl="0" w:tplc="5E8CA67A">
      <w:start w:val="1"/>
      <w:numFmt w:val="decimal"/>
      <w:lvlText w:val="%1."/>
      <w:lvlJc w:val="left"/>
      <w:pPr>
        <w:ind w:left="720" w:hanging="360"/>
      </w:pPr>
      <w:rPr>
        <w:i w:val="0"/>
      </w:rPr>
    </w:lvl>
    <w:lvl w:ilvl="1" w:tplc="04090019">
      <w:start w:val="1"/>
      <w:numFmt w:val="lowerLetter"/>
      <w:lvlText w:val="%2."/>
      <w:lvlJc w:val="left"/>
      <w:pPr>
        <w:ind w:left="1440" w:hanging="360"/>
      </w:pPr>
    </w:lvl>
    <w:lvl w:ilvl="2" w:tplc="A78A0428">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34D5A"/>
    <w:multiLevelType w:val="hybridMultilevel"/>
    <w:tmpl w:val="C3C0238A"/>
    <w:lvl w:ilvl="0" w:tplc="5E8CA67A">
      <w:start w:val="1"/>
      <w:numFmt w:val="decimal"/>
      <w:lvlText w:val="%1."/>
      <w:lvlJc w:val="left"/>
      <w:pPr>
        <w:ind w:left="720" w:hanging="360"/>
      </w:pPr>
      <w:rPr>
        <w:i w:val="0"/>
      </w:rPr>
    </w:lvl>
    <w:lvl w:ilvl="1" w:tplc="04090019">
      <w:start w:val="1"/>
      <w:numFmt w:val="lowerLetter"/>
      <w:lvlText w:val="%2."/>
      <w:lvlJc w:val="left"/>
      <w:pPr>
        <w:ind w:left="1440" w:hanging="360"/>
      </w:pPr>
    </w:lvl>
    <w:lvl w:ilvl="2" w:tplc="D9CCF392">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240DB"/>
    <w:multiLevelType w:val="hybridMultilevel"/>
    <w:tmpl w:val="AB0EBF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BD"/>
    <w:rsid w:val="000562B1"/>
    <w:rsid w:val="00080F90"/>
    <w:rsid w:val="000B0A52"/>
    <w:rsid w:val="000B3587"/>
    <w:rsid w:val="001223B7"/>
    <w:rsid w:val="00122B3A"/>
    <w:rsid w:val="00161FF9"/>
    <w:rsid w:val="001B24B9"/>
    <w:rsid w:val="001C745D"/>
    <w:rsid w:val="00283582"/>
    <w:rsid w:val="00363551"/>
    <w:rsid w:val="003C73BD"/>
    <w:rsid w:val="003D5073"/>
    <w:rsid w:val="003F63ED"/>
    <w:rsid w:val="0049562C"/>
    <w:rsid w:val="004B6FA0"/>
    <w:rsid w:val="005210F2"/>
    <w:rsid w:val="00583137"/>
    <w:rsid w:val="006D57D0"/>
    <w:rsid w:val="006F6050"/>
    <w:rsid w:val="007065F6"/>
    <w:rsid w:val="007237FB"/>
    <w:rsid w:val="007C028B"/>
    <w:rsid w:val="007E1668"/>
    <w:rsid w:val="00807E3A"/>
    <w:rsid w:val="008516B9"/>
    <w:rsid w:val="008A508B"/>
    <w:rsid w:val="008E5F09"/>
    <w:rsid w:val="00947EAF"/>
    <w:rsid w:val="00A4484D"/>
    <w:rsid w:val="00B55CD4"/>
    <w:rsid w:val="00BC59A8"/>
    <w:rsid w:val="00C91D73"/>
    <w:rsid w:val="00CC0DAC"/>
    <w:rsid w:val="00D60E35"/>
    <w:rsid w:val="00DE215C"/>
    <w:rsid w:val="00DE2A71"/>
    <w:rsid w:val="00DE3188"/>
    <w:rsid w:val="00E118AC"/>
    <w:rsid w:val="00E61C27"/>
    <w:rsid w:val="00E95961"/>
    <w:rsid w:val="00EB0ED8"/>
    <w:rsid w:val="00EF0327"/>
    <w:rsid w:val="00F45FCA"/>
    <w:rsid w:val="00F6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BD"/>
    <w:pPr>
      <w:ind w:left="720"/>
      <w:contextualSpacing/>
    </w:pPr>
  </w:style>
  <w:style w:type="character" w:styleId="Hyperlink">
    <w:name w:val="Hyperlink"/>
    <w:basedOn w:val="DefaultParagraphFont"/>
    <w:uiPriority w:val="99"/>
    <w:unhideWhenUsed/>
    <w:rsid w:val="003F63ED"/>
    <w:rPr>
      <w:color w:val="0000FF" w:themeColor="hyperlink"/>
      <w:u w:val="single"/>
    </w:rPr>
  </w:style>
  <w:style w:type="paragraph" w:styleId="BalloonText">
    <w:name w:val="Balloon Text"/>
    <w:basedOn w:val="Normal"/>
    <w:link w:val="BalloonTextChar"/>
    <w:uiPriority w:val="99"/>
    <w:semiHidden/>
    <w:unhideWhenUsed/>
    <w:rsid w:val="00F45FCA"/>
    <w:rPr>
      <w:rFonts w:ascii="Tahoma" w:hAnsi="Tahoma" w:cs="Tahoma"/>
      <w:sz w:val="16"/>
      <w:szCs w:val="16"/>
    </w:rPr>
  </w:style>
  <w:style w:type="character" w:customStyle="1" w:styleId="BalloonTextChar">
    <w:name w:val="Balloon Text Char"/>
    <w:basedOn w:val="DefaultParagraphFont"/>
    <w:link w:val="BalloonText"/>
    <w:uiPriority w:val="99"/>
    <w:semiHidden/>
    <w:rsid w:val="00F45FCA"/>
    <w:rPr>
      <w:rFonts w:ascii="Tahoma" w:hAnsi="Tahoma" w:cs="Tahoma"/>
      <w:sz w:val="16"/>
      <w:szCs w:val="16"/>
    </w:rPr>
  </w:style>
  <w:style w:type="character" w:styleId="CommentReference">
    <w:name w:val="annotation reference"/>
    <w:basedOn w:val="DefaultParagraphFont"/>
    <w:uiPriority w:val="99"/>
    <w:semiHidden/>
    <w:unhideWhenUsed/>
    <w:rsid w:val="00F45FCA"/>
    <w:rPr>
      <w:sz w:val="16"/>
      <w:szCs w:val="16"/>
    </w:rPr>
  </w:style>
  <w:style w:type="paragraph" w:styleId="CommentText">
    <w:name w:val="annotation text"/>
    <w:basedOn w:val="Normal"/>
    <w:link w:val="CommentTextChar"/>
    <w:uiPriority w:val="99"/>
    <w:semiHidden/>
    <w:unhideWhenUsed/>
    <w:rsid w:val="00F45FCA"/>
    <w:rPr>
      <w:sz w:val="20"/>
      <w:szCs w:val="20"/>
    </w:rPr>
  </w:style>
  <w:style w:type="character" w:customStyle="1" w:styleId="CommentTextChar">
    <w:name w:val="Comment Text Char"/>
    <w:basedOn w:val="DefaultParagraphFont"/>
    <w:link w:val="CommentText"/>
    <w:uiPriority w:val="99"/>
    <w:semiHidden/>
    <w:rsid w:val="00F45F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5FCA"/>
    <w:rPr>
      <w:b/>
      <w:bCs/>
    </w:rPr>
  </w:style>
  <w:style w:type="character" w:customStyle="1" w:styleId="CommentSubjectChar">
    <w:name w:val="Comment Subject Char"/>
    <w:basedOn w:val="CommentTextChar"/>
    <w:link w:val="CommentSubject"/>
    <w:uiPriority w:val="99"/>
    <w:semiHidden/>
    <w:rsid w:val="00F45FCA"/>
    <w:rPr>
      <w:rFonts w:ascii="Times New Roman" w:hAnsi="Times New Roman" w:cs="Times New Roman"/>
      <w:b/>
      <w:bCs/>
      <w:sz w:val="20"/>
      <w:szCs w:val="20"/>
    </w:rPr>
  </w:style>
  <w:style w:type="paragraph" w:styleId="EndnoteText">
    <w:name w:val="endnote text"/>
    <w:basedOn w:val="Normal"/>
    <w:link w:val="EndnoteTextChar"/>
    <w:uiPriority w:val="99"/>
    <w:semiHidden/>
    <w:unhideWhenUsed/>
    <w:rsid w:val="005210F2"/>
    <w:rPr>
      <w:sz w:val="20"/>
      <w:szCs w:val="20"/>
    </w:rPr>
  </w:style>
  <w:style w:type="character" w:customStyle="1" w:styleId="EndnoteTextChar">
    <w:name w:val="Endnote Text Char"/>
    <w:basedOn w:val="DefaultParagraphFont"/>
    <w:link w:val="EndnoteText"/>
    <w:uiPriority w:val="99"/>
    <w:semiHidden/>
    <w:rsid w:val="005210F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210F2"/>
    <w:rPr>
      <w:vertAlign w:val="superscript"/>
    </w:rPr>
  </w:style>
  <w:style w:type="table" w:styleId="TableGrid">
    <w:name w:val="Table Grid"/>
    <w:basedOn w:val="TableNormal"/>
    <w:uiPriority w:val="59"/>
    <w:rsid w:val="00E6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BD"/>
    <w:pPr>
      <w:ind w:left="720"/>
      <w:contextualSpacing/>
    </w:pPr>
  </w:style>
  <w:style w:type="character" w:styleId="Hyperlink">
    <w:name w:val="Hyperlink"/>
    <w:basedOn w:val="DefaultParagraphFont"/>
    <w:uiPriority w:val="99"/>
    <w:unhideWhenUsed/>
    <w:rsid w:val="003F63ED"/>
    <w:rPr>
      <w:color w:val="0000FF" w:themeColor="hyperlink"/>
      <w:u w:val="single"/>
    </w:rPr>
  </w:style>
  <w:style w:type="paragraph" w:styleId="BalloonText">
    <w:name w:val="Balloon Text"/>
    <w:basedOn w:val="Normal"/>
    <w:link w:val="BalloonTextChar"/>
    <w:uiPriority w:val="99"/>
    <w:semiHidden/>
    <w:unhideWhenUsed/>
    <w:rsid w:val="00F45FCA"/>
    <w:rPr>
      <w:rFonts w:ascii="Tahoma" w:hAnsi="Tahoma" w:cs="Tahoma"/>
      <w:sz w:val="16"/>
      <w:szCs w:val="16"/>
    </w:rPr>
  </w:style>
  <w:style w:type="character" w:customStyle="1" w:styleId="BalloonTextChar">
    <w:name w:val="Balloon Text Char"/>
    <w:basedOn w:val="DefaultParagraphFont"/>
    <w:link w:val="BalloonText"/>
    <w:uiPriority w:val="99"/>
    <w:semiHidden/>
    <w:rsid w:val="00F45FCA"/>
    <w:rPr>
      <w:rFonts w:ascii="Tahoma" w:hAnsi="Tahoma" w:cs="Tahoma"/>
      <w:sz w:val="16"/>
      <w:szCs w:val="16"/>
    </w:rPr>
  </w:style>
  <w:style w:type="character" w:styleId="CommentReference">
    <w:name w:val="annotation reference"/>
    <w:basedOn w:val="DefaultParagraphFont"/>
    <w:uiPriority w:val="99"/>
    <w:semiHidden/>
    <w:unhideWhenUsed/>
    <w:rsid w:val="00F45FCA"/>
    <w:rPr>
      <w:sz w:val="16"/>
      <w:szCs w:val="16"/>
    </w:rPr>
  </w:style>
  <w:style w:type="paragraph" w:styleId="CommentText">
    <w:name w:val="annotation text"/>
    <w:basedOn w:val="Normal"/>
    <w:link w:val="CommentTextChar"/>
    <w:uiPriority w:val="99"/>
    <w:semiHidden/>
    <w:unhideWhenUsed/>
    <w:rsid w:val="00F45FCA"/>
    <w:rPr>
      <w:sz w:val="20"/>
      <w:szCs w:val="20"/>
    </w:rPr>
  </w:style>
  <w:style w:type="character" w:customStyle="1" w:styleId="CommentTextChar">
    <w:name w:val="Comment Text Char"/>
    <w:basedOn w:val="DefaultParagraphFont"/>
    <w:link w:val="CommentText"/>
    <w:uiPriority w:val="99"/>
    <w:semiHidden/>
    <w:rsid w:val="00F45F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5FCA"/>
    <w:rPr>
      <w:b/>
      <w:bCs/>
    </w:rPr>
  </w:style>
  <w:style w:type="character" w:customStyle="1" w:styleId="CommentSubjectChar">
    <w:name w:val="Comment Subject Char"/>
    <w:basedOn w:val="CommentTextChar"/>
    <w:link w:val="CommentSubject"/>
    <w:uiPriority w:val="99"/>
    <w:semiHidden/>
    <w:rsid w:val="00F45FCA"/>
    <w:rPr>
      <w:rFonts w:ascii="Times New Roman" w:hAnsi="Times New Roman" w:cs="Times New Roman"/>
      <w:b/>
      <w:bCs/>
      <w:sz w:val="20"/>
      <w:szCs w:val="20"/>
    </w:rPr>
  </w:style>
  <w:style w:type="paragraph" w:styleId="EndnoteText">
    <w:name w:val="endnote text"/>
    <w:basedOn w:val="Normal"/>
    <w:link w:val="EndnoteTextChar"/>
    <w:uiPriority w:val="99"/>
    <w:semiHidden/>
    <w:unhideWhenUsed/>
    <w:rsid w:val="005210F2"/>
    <w:rPr>
      <w:sz w:val="20"/>
      <w:szCs w:val="20"/>
    </w:rPr>
  </w:style>
  <w:style w:type="character" w:customStyle="1" w:styleId="EndnoteTextChar">
    <w:name w:val="Endnote Text Char"/>
    <w:basedOn w:val="DefaultParagraphFont"/>
    <w:link w:val="EndnoteText"/>
    <w:uiPriority w:val="99"/>
    <w:semiHidden/>
    <w:rsid w:val="005210F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210F2"/>
    <w:rPr>
      <w:vertAlign w:val="superscript"/>
    </w:rPr>
  </w:style>
  <w:style w:type="table" w:styleId="TableGrid">
    <w:name w:val="Table Grid"/>
    <w:basedOn w:val="TableNormal"/>
    <w:uiPriority w:val="59"/>
    <w:rsid w:val="00E6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1440">
      <w:bodyDiv w:val="1"/>
      <w:marLeft w:val="0"/>
      <w:marRight w:val="0"/>
      <w:marTop w:val="0"/>
      <w:marBottom w:val="0"/>
      <w:divBdr>
        <w:top w:val="none" w:sz="0" w:space="0" w:color="auto"/>
        <w:left w:val="none" w:sz="0" w:space="0" w:color="auto"/>
        <w:bottom w:val="none" w:sz="0" w:space="0" w:color="auto"/>
        <w:right w:val="none" w:sz="0" w:space="0" w:color="auto"/>
      </w:divBdr>
    </w:div>
    <w:div w:id="14419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4666-6009-4D0A-BCBE-01754E50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Adamitis</dc:creator>
  <cp:lastModifiedBy>Jessica Adamitis</cp:lastModifiedBy>
  <cp:revision>4</cp:revision>
  <dcterms:created xsi:type="dcterms:W3CDTF">2017-09-13T20:09:00Z</dcterms:created>
  <dcterms:modified xsi:type="dcterms:W3CDTF">2017-09-13T20:24:00Z</dcterms:modified>
</cp:coreProperties>
</file>