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1AD9" w14:textId="77777777" w:rsidR="0053131F" w:rsidRDefault="005006E1">
      <w:pPr>
        <w:pageBreakBefore/>
        <w:sectPr w:rsidR="0053131F">
          <w:type w:val="continuous"/>
          <w:pgSz w:w="12240" w:h="15840"/>
          <w:pgMar w:top="1080" w:right="1440" w:bottom="1080" w:left="1440" w:header="360" w:footer="360" w:gutter="0"/>
          <w:cols w:space="720"/>
        </w:sectPr>
      </w:pPr>
      <w:r>
        <w:pict w14:anchorId="7EFB1B3F">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006;top:1034;width:1755;height:375;mso-position-horizontal-relative:page;mso-position-vertical-relative:page" filled="f" stroked="f">
              <v:textbox inset="0,0,0,0">
                <w:txbxContent>
                  <w:p w14:paraId="7EFB1B41" w14:textId="77777777" w:rsidR="0053131F" w:rsidRDefault="005006E1">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564;height:499;mso-position-horizontal-relative:page;mso-position-vertical-relative:page" filled="f" stroked="f">
              <v:textbox inset="0,0,0,0">
                <w:txbxContent>
                  <w:p w14:paraId="7EFB1B42" w14:textId="77777777" w:rsidR="0053131F" w:rsidRDefault="005006E1">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59" type="#_x0000_t202" style="position:absolute;left:3086;top:1946;width:228;height:375;mso-position-horizontal-relative:page;mso-position-vertical-relative:page" filled="f" stroked="f">
              <v:textbox inset="0,0,0,0">
                <w:txbxContent>
                  <w:p w14:paraId="7EFB1B43" w14:textId="77777777" w:rsidR="0053131F" w:rsidRDefault="005006E1">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7EFB1B44" w14:textId="77777777" w:rsidR="0053131F" w:rsidRDefault="005006E1">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7EFB1B45" w14:textId="77777777" w:rsidR="0053131F" w:rsidRDefault="005006E1">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7EFB1B46" w14:textId="77777777" w:rsidR="0053131F" w:rsidRDefault="005006E1">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7EFB1B47" w14:textId="77777777" w:rsidR="0053131F" w:rsidRDefault="005006E1">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7EFB1B48" w14:textId="77777777" w:rsidR="0053131F" w:rsidRDefault="005006E1">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7EFB1B49" w14:textId="77777777" w:rsidR="0053131F" w:rsidRDefault="005006E1">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7EFB1B4A" w14:textId="77777777" w:rsidR="0053131F" w:rsidRDefault="005006E1">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7EFB1B4B" w14:textId="77777777" w:rsidR="0053131F" w:rsidRDefault="005006E1">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7EFB1B4C" w14:textId="77777777" w:rsidR="0053131F" w:rsidRDefault="005006E1">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7EFB1B4D" w14:textId="77777777" w:rsidR="0053131F" w:rsidRDefault="005006E1">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7EFB1B4E" w14:textId="77777777" w:rsidR="0053131F" w:rsidRDefault="005006E1">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7EFB1B4F" w14:textId="77777777" w:rsidR="0053131F" w:rsidRDefault="005006E1">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7EFB1B50" w14:textId="77777777" w:rsidR="0053131F" w:rsidRDefault="005006E1">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7EFB1B51" w14:textId="77777777" w:rsidR="0053131F" w:rsidRDefault="005006E1">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7EFB1B52" w14:textId="77777777" w:rsidR="0053131F" w:rsidRDefault="005006E1">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7EFB1B53" w14:textId="77777777" w:rsidR="0053131F" w:rsidRDefault="005006E1">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7EFB1B54" w14:textId="77777777" w:rsidR="0053131F" w:rsidRDefault="005006E1">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7EFB1B55" w14:textId="77777777" w:rsidR="0053131F" w:rsidRDefault="005006E1">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7EFB1B56" w14:textId="77777777" w:rsidR="0053131F" w:rsidRDefault="005006E1">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7EFB1B57" w14:textId="77777777" w:rsidR="0053131F" w:rsidRDefault="005006E1">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7EFB1B58" w14:textId="77777777" w:rsidR="0053131F" w:rsidRDefault="005006E1">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7EFB1B59" w14:textId="77777777" w:rsidR="0053131F" w:rsidRDefault="005006E1">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7EFB1B5A" w14:textId="77777777" w:rsidR="0053131F" w:rsidRDefault="005006E1">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7EFB1B5B" w14:textId="77777777" w:rsidR="0053131F" w:rsidRDefault="005006E1">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7EFB1B5C" w14:textId="77777777" w:rsidR="0053131F" w:rsidRDefault="005006E1">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7EFB1B5D" w14:textId="77777777" w:rsidR="0053131F" w:rsidRDefault="005006E1">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7EFB1B5E" w14:textId="77777777" w:rsidR="0053131F" w:rsidRDefault="005006E1">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7EFB1B5F" w14:textId="77777777" w:rsidR="0053131F" w:rsidRDefault="005006E1">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7EFB1B60" w14:textId="77777777" w:rsidR="0053131F" w:rsidRDefault="005006E1">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7EFB1B61" w14:textId="77777777" w:rsidR="0053131F" w:rsidRDefault="005006E1">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7EFB1B62" w14:textId="77777777" w:rsidR="0053131F" w:rsidRDefault="005006E1">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7EFB1B63" w14:textId="77777777" w:rsidR="0053131F" w:rsidRDefault="005006E1">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7EFB1B64" w14:textId="77777777" w:rsidR="0053131F" w:rsidRDefault="005006E1">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7EFB1B65" w14:textId="77777777" w:rsidR="0053131F" w:rsidRDefault="005006E1">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7EFB1B66" w14:textId="77777777" w:rsidR="0053131F" w:rsidRDefault="005006E1">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7EFB1B67" w14:textId="77777777" w:rsidR="0053131F" w:rsidRDefault="005006E1">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538;height:201;mso-position-horizontal-relative:page;mso-position-vertical-relative:page" filled="f" stroked="f">
              <v:textbox inset="0,0,0,0">
                <w:txbxContent>
                  <w:p w14:paraId="7EFB1B68" w14:textId="77777777" w:rsidR="0053131F" w:rsidRDefault="005006E1">
                    <w:pPr>
                      <w:spacing w:after="0" w:line="240" w:lineRule="auto"/>
                      <w:rPr>
                        <w:rFonts w:ascii="Arial" w:hAnsi="Arial" w:cs="Arial"/>
                        <w:sz w:val="15"/>
                        <w:szCs w:val="15"/>
                      </w:rPr>
                    </w:pPr>
                    <w:r>
                      <w:rPr>
                        <w:rFonts w:ascii="Arial" w:hAnsi="Arial" w:cs="Arial"/>
                        <w:sz w:val="15"/>
                        <w:szCs w:val="15"/>
                      </w:rPr>
                      <w:t xml:space="preserve">FedBizOpps Sources Sought </w:t>
                    </w:r>
                    <w:r>
                      <w:rPr>
                        <w:rFonts w:ascii="Arial" w:hAnsi="Arial" w:cs="Arial"/>
                        <w:sz w:val="15"/>
                        <w:szCs w:val="15"/>
                      </w:rPr>
                      <w:t>Notice</w:t>
                    </w:r>
                  </w:p>
                </w:txbxContent>
              </v:textbox>
            </v:shape>
            <v:shape id="_x0000_s1097" type="#_x0000_t202" style="position:absolute;left:9326;top:14758;width:1241;height:201;mso-position-horizontal-relative:page;mso-position-vertical-relative:page" filled="f" stroked="f">
              <v:textbox inset="0,0,0,0">
                <w:txbxContent>
                  <w:p w14:paraId="7EFB1B69" w14:textId="77777777" w:rsidR="0053131F" w:rsidRDefault="005006E1">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7EFB1B6A"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J</w:t>
                    </w:r>
                  </w:p>
                </w:txbxContent>
              </v:textbox>
            </v:shape>
            <v:shape id="_x0000_s1099" type="#_x0000_t202" style="position:absolute;left:3902;top:2470;width:5628;height:204;mso-position-horizontal-relative:page;mso-position-vertical-relative:page" filled="f" stroked="f">
              <v:textbox inset="0,0,0,0">
                <w:txbxContent>
                  <w:p w14:paraId="7EFB1B6B"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INSTRUMENTATION SERVICES SPS</w:t>
                    </w:r>
                  </w:p>
                </w:txbxContent>
              </v:textbox>
            </v:shape>
            <v:shape id="_x0000_s1100" type="#_x0000_t202" style="position:absolute;left:3902;top:2662;width:5628;height:204;mso-position-horizontal-relative:page;mso-position-vertical-relative:page" filled="f" stroked="f">
              <v:textbox inset="0,0,0,0">
                <w:txbxContent>
                  <w:p w14:paraId="7EFB1B6C"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VA SOUTHERN NEVADA HEALTH CARE SYSTEM</w:t>
                    </w:r>
                  </w:p>
                </w:txbxContent>
              </v:textbox>
            </v:shape>
            <v:shape id="_x0000_s1101" type="#_x0000_t202" style="position:absolute;left:3902;top:2854;width:5628;height:204;mso-position-horizontal-relative:page;mso-position-vertical-relative:page" filled="f" stroked="f">
              <v:textbox inset="0,0,0,0">
                <w:txbxContent>
                  <w:p w14:paraId="7EFB1B6D" w14:textId="77777777" w:rsidR="0053131F" w:rsidRDefault="0053131F">
                    <w:pPr>
                      <w:spacing w:after="0" w:line="240" w:lineRule="auto"/>
                      <w:rPr>
                        <w:rFonts w:ascii="Courier New" w:hAnsi="Courier New" w:cs="Courier New"/>
                        <w:sz w:val="15"/>
                        <w:szCs w:val="15"/>
                      </w:rPr>
                    </w:pPr>
                  </w:p>
                </w:txbxContent>
              </v:textbox>
            </v:shape>
            <v:shape id="_x0000_s1102" type="#_x0000_t202" style="position:absolute;left:3902;top:3046;width:5628;height:204;mso-position-horizontal-relative:page;mso-position-vertical-relative:page" filled="f" stroked="f">
              <v:textbox inset="0,0,0,0">
                <w:txbxContent>
                  <w:p w14:paraId="7EFB1B6E" w14:textId="77777777" w:rsidR="0053131F" w:rsidRDefault="0053131F">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7EFB1B6F"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93721</w:t>
                    </w:r>
                  </w:p>
                </w:txbxContent>
              </v:textbox>
            </v:shape>
            <v:shape id="_x0000_s1104" type="#_x0000_t202" style="position:absolute;left:3902;top:4438;width:2383;height:204;mso-position-horizontal-relative:page;mso-position-vertical-relative:page" filled="f" stroked="f">
              <v:textbox inset="0,0,0,0">
                <w:txbxContent>
                  <w:p w14:paraId="7EFB1B70"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36C26118Q0014</w:t>
                    </w:r>
                  </w:p>
                </w:txbxContent>
              </v:textbox>
            </v:shape>
            <v:shape id="_x0000_s1105" type="#_x0000_t202" style="position:absolute;left:3902;top:4918;width:992;height:204;mso-position-horizontal-relative:page;mso-position-vertical-relative:page" filled="f" stroked="f">
              <v:textbox inset="0,0,0,0">
                <w:txbxContent>
                  <w:p w14:paraId="7EFB1B71"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10-11-2017</w:t>
                    </w:r>
                  </w:p>
                </w:txbxContent>
              </v:textbox>
            </v:shape>
            <v:shape id="_x0000_s1106" type="#_x0000_t202" style="position:absolute;left:3902;top:5398;width:343;height:204;mso-position-horizontal-relative:page;mso-position-vertical-relative:page" filled="f" stroked="f">
              <v:textbox inset="0,0,0,0">
                <w:txbxContent>
                  <w:p w14:paraId="7EFB1B72"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v:shape id="_x0000_s1107" type="#_x0000_t202" style="position:absolute;left:3902;top:5878;width:158;height:204;mso-position-horizontal-relative:page;mso-position-vertical-relative:page" filled="f" stroked="f">
              <v:textbox inset="0,0,0,0">
                <w:txbxContent>
                  <w:p w14:paraId="7EFB1B73"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7EFB1B74" w14:textId="77777777" w:rsidR="0053131F" w:rsidRDefault="0053131F">
                    <w:pPr>
                      <w:spacing w:after="0" w:line="240" w:lineRule="auto"/>
                      <w:rPr>
                        <w:rFonts w:ascii="Courier New" w:hAnsi="Courier New" w:cs="Courier New"/>
                        <w:sz w:val="15"/>
                        <w:szCs w:val="15"/>
                      </w:rPr>
                    </w:pPr>
                  </w:p>
                </w:txbxContent>
              </v:textbox>
            </v:shape>
            <v:shape id="_x0000_s1109" type="#_x0000_t202" style="position:absolute;left:3902;top:6838;width:621;height:204;mso-position-horizontal-relative:page;mso-position-vertical-relative:page" filled="f" stroked="f">
              <v:textbox inset="0,0,0,0">
                <w:txbxContent>
                  <w:p w14:paraId="7EFB1B75"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811219</w:t>
                    </w:r>
                  </w:p>
                </w:txbxContent>
              </v:textbox>
            </v:shape>
            <v:shape id="_x0000_s1110" type="#_x0000_t202" style="position:absolute;left:3902;top:7246;width:3774;height:204;mso-position-horizontal-relative:page;mso-position-vertical-relative:page" filled="f" stroked="f">
              <v:textbox inset="0,0,0,0">
                <w:txbxContent>
                  <w:p w14:paraId="7EFB1B76"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7EFB1B77"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VA Sierra Pacific Network (VISN 21)</w:t>
                    </w:r>
                  </w:p>
                </w:txbxContent>
              </v:textbox>
            </v:shape>
            <v:shape id="_x0000_s1112" type="#_x0000_t202" style="position:absolute;left:3902;top:7630;width:3774;height:204;mso-position-horizontal-relative:page;mso-position-vertical-relative:page" filled="f" stroked="f">
              <v:textbox inset="0,0,0,0">
                <w:txbxContent>
                  <w:p w14:paraId="7EFB1B78"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 xml:space="preserve">VA </w:t>
                    </w:r>
                    <w:r>
                      <w:rPr>
                        <w:rFonts w:ascii="Courier New" w:hAnsi="Courier New" w:cs="Courier New"/>
                        <w:sz w:val="15"/>
                        <w:szCs w:val="15"/>
                      </w:rPr>
                      <w:t>Central California Health Care System</w:t>
                    </w:r>
                  </w:p>
                </w:txbxContent>
              </v:textbox>
            </v:shape>
            <v:shape id="_x0000_s1113" type="#_x0000_t202" style="position:absolute;left:3902;top:7822;width:3774;height:204;mso-position-horizontal-relative:page;mso-position-vertical-relative:page" filled="f" stroked="f">
              <v:textbox inset="0,0,0,0">
                <w:txbxContent>
                  <w:p w14:paraId="7EFB1B79"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855 M Street, Suite 1020</w:t>
                    </w:r>
                  </w:p>
                </w:txbxContent>
              </v:textbox>
            </v:shape>
            <v:shape id="_x0000_s1114" type="#_x0000_t202" style="position:absolute;left:3902;top:8014;width:3774;height:204;mso-position-horizontal-relative:page;mso-position-vertical-relative:page" filled="f" stroked="f">
              <v:textbox inset="0,0,0,0">
                <w:txbxContent>
                  <w:p w14:paraId="7EFB1B7A"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Fresno CA  93721</w:t>
                    </w:r>
                  </w:p>
                </w:txbxContent>
              </v:textbox>
            </v:shape>
            <v:shape id="_x0000_s1115" type="#_x0000_t202" style="position:absolute;left:3902;top:8758;width:4701;height:204;mso-position-horizontal-relative:page;mso-position-vertical-relative:page" filled="f" stroked="f">
              <v:textbox inset="0,0,0,0">
                <w:txbxContent>
                  <w:p w14:paraId="7EFB1B7B" w14:textId="77777777" w:rsidR="0053131F" w:rsidRDefault="0053131F">
                    <w:pPr>
                      <w:spacing w:after="0" w:line="240" w:lineRule="auto"/>
                      <w:rPr>
                        <w:rFonts w:ascii="Courier New" w:hAnsi="Courier New" w:cs="Courier New"/>
                        <w:sz w:val="15"/>
                        <w:szCs w:val="15"/>
                      </w:rPr>
                    </w:pPr>
                  </w:p>
                </w:txbxContent>
              </v:textbox>
            </v:shape>
            <v:shape id="_x0000_s1116" type="#_x0000_t202" style="position:absolute;left:3902;top:8950;width:4701;height:204;mso-position-horizontal-relative:page;mso-position-vertical-relative:page" filled="f" stroked="f">
              <v:textbox inset="0,0,0,0">
                <w:txbxContent>
                  <w:p w14:paraId="7EFB1B7C" w14:textId="77777777" w:rsidR="0053131F" w:rsidRDefault="0053131F">
                    <w:pPr>
                      <w:spacing w:after="0" w:line="240" w:lineRule="auto"/>
                      <w:rPr>
                        <w:rFonts w:ascii="Courier New" w:hAnsi="Courier New" w:cs="Courier New"/>
                        <w:sz w:val="15"/>
                        <w:szCs w:val="15"/>
                      </w:rPr>
                    </w:pPr>
                  </w:p>
                </w:txbxContent>
              </v:textbox>
            </v:shape>
            <v:shape id="_x0000_s1117" type="#_x0000_t202" style="position:absolute;left:3902;top:9142;width:4701;height:204;mso-position-horizontal-relative:page;mso-position-vertical-relative:page" filled="f" stroked="f">
              <v:textbox inset="0,0,0,0">
                <w:txbxContent>
                  <w:p w14:paraId="7EFB1B7D" w14:textId="77777777" w:rsidR="0053131F" w:rsidRDefault="0053131F">
                    <w:pPr>
                      <w:spacing w:after="0" w:line="240" w:lineRule="auto"/>
                      <w:rPr>
                        <w:rFonts w:ascii="Courier New" w:hAnsi="Courier New" w:cs="Courier New"/>
                        <w:sz w:val="15"/>
                        <w:szCs w:val="15"/>
                      </w:rPr>
                    </w:pPr>
                  </w:p>
                </w:txbxContent>
              </v:textbox>
            </v:shape>
            <v:shape id="_x0000_s1118" type="#_x0000_t202" style="position:absolute;left:3902;top:9334;width:4701;height:204;mso-position-horizontal-relative:page;mso-position-vertical-relative:page" filled="f" stroked="f">
              <v:textbox inset="0,0,0,0">
                <w:txbxContent>
                  <w:p w14:paraId="7EFB1B7E" w14:textId="77777777" w:rsidR="0053131F" w:rsidRDefault="0053131F">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7EFB1B7F" w14:textId="77777777" w:rsidR="0053131F" w:rsidRDefault="0053131F">
                    <w:pPr>
                      <w:spacing w:after="0" w:line="240" w:lineRule="auto"/>
                      <w:rPr>
                        <w:rFonts w:ascii="Courier New" w:hAnsi="Courier New" w:cs="Courier New"/>
                        <w:sz w:val="15"/>
                        <w:szCs w:val="15"/>
                      </w:rPr>
                    </w:pPr>
                  </w:p>
                </w:txbxContent>
              </v:textbox>
            </v:shape>
            <v:shape id="_x0000_s1120" type="#_x0000_t202" style="position:absolute;left:3902;top:9718;width:4701;height:204;mso-position-horizontal-relative:page;mso-position-vertical-relative:page" filled="f" stroked="f">
              <v:textbox inset="0,0,0,0">
                <w:txbxContent>
                  <w:p w14:paraId="7EFB1B80" w14:textId="77777777" w:rsidR="0053131F" w:rsidRDefault="0053131F">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7EFB1B81"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22" type="#_x0000_t202" style="position:absolute;left:3902;top:10534;width:4701;height:204;mso-position-horizontal-relative:page;mso-position-vertical-relative:page" filled="f" stroked="f">
              <v:textbox inset="0,0,0,0">
                <w:txbxContent>
                  <w:p w14:paraId="7EFB1B82"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VA Southern Nevada Healthcare System</w:t>
                    </w:r>
                  </w:p>
                </w:txbxContent>
              </v:textbox>
            </v:shape>
            <v:shape id="_x0000_s1123" type="#_x0000_t202" style="position:absolute;left:3902;top:10726;width:4701;height:204;mso-position-horizontal-relative:page;mso-position-vertical-relative:page" filled="f" stroked="f">
              <v:textbox inset="0,0,0,0">
                <w:txbxContent>
                  <w:p w14:paraId="7EFB1B83"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North Las Vegas VA Medical Center</w:t>
                    </w:r>
                  </w:p>
                </w:txbxContent>
              </v:textbox>
            </v:shape>
            <v:shape id="_x0000_s1124" type="#_x0000_t202" style="position:absolute;left:3902;top:10918;width:4701;height:204;mso-position-horizontal-relative:page;mso-position-vertical-relative:page" filled="f" stroked="f">
              <v:textbox inset="0,0,0,0">
                <w:txbxContent>
                  <w:p w14:paraId="7EFB1B84"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6900 North Pecos Road</w:t>
                    </w:r>
                  </w:p>
                </w:txbxContent>
              </v:textbox>
            </v:shape>
            <v:shape id="_x0000_s1125" type="#_x0000_t202" style="position:absolute;left:3902;top:11110;width:4238;height:204;mso-position-horizontal-relative:page;mso-position-vertical-relative:page" filled="f" stroked="f">
              <v:textbox inset="0,0,0,0">
                <w:txbxContent>
                  <w:p w14:paraId="7EFB1B85"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 xml:space="preserve">North </w:t>
                    </w:r>
                    <w:r>
                      <w:rPr>
                        <w:rFonts w:ascii="Courier New" w:hAnsi="Courier New" w:cs="Courier New"/>
                        <w:sz w:val="15"/>
                        <w:szCs w:val="15"/>
                      </w:rPr>
                      <w:t>Las Vegas, NV</w:t>
                    </w:r>
                  </w:p>
                </w:txbxContent>
              </v:textbox>
            </v:shape>
            <v:shape id="_x0000_s1126" type="#_x0000_t202" style="position:absolute;left:3902;top:11446;width:992;height:204;mso-position-horizontal-relative:page;mso-position-vertical-relative:page" filled="f" stroked="f">
              <v:textbox inset="0,0,0,0">
                <w:txbxContent>
                  <w:p w14:paraId="7EFB1B86"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89086</w:t>
                    </w:r>
                  </w:p>
                </w:txbxContent>
              </v:textbox>
            </v:shape>
            <v:shape id="_x0000_s1127" type="#_x0000_t202" style="position:absolute;left:3902;top:11926;width:2383;height:204;mso-position-horizontal-relative:page;mso-position-vertical-relative:page" filled="f" stroked="f">
              <v:textbox inset="0,0,0,0">
                <w:txbxContent>
                  <w:p w14:paraId="7EFB1B87" w14:textId="77777777" w:rsidR="0053131F" w:rsidRDefault="005006E1">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8" type="#_x0000_t202" style="position:absolute;left:3902;top:12742;width:5628;height:204;mso-position-horizontal-relative:page;mso-position-vertical-relative:page" filled="f" stroked="f">
              <v:textbox inset="0,0,0,0">
                <w:txbxContent>
                  <w:p w14:paraId="7EFB1B88" w14:textId="77777777" w:rsidR="0053131F" w:rsidRDefault="0053131F">
                    <w:pPr>
                      <w:spacing w:after="0" w:line="240" w:lineRule="auto"/>
                      <w:rPr>
                        <w:rFonts w:ascii="Courier New" w:hAnsi="Courier New" w:cs="Courier New"/>
                        <w:sz w:val="15"/>
                        <w:szCs w:val="15"/>
                      </w:rPr>
                    </w:pPr>
                  </w:p>
                </w:txbxContent>
              </v:textbox>
            </v:shape>
            <v:shape id="_x0000_s1129" type="#_x0000_t202" style="position:absolute;left:3902;top:13222;width:5628;height:204;mso-position-horizontal-relative:page;mso-position-vertical-relative:page" filled="f" stroked="f">
              <v:textbox inset="0,0,0,0">
                <w:txbxContent>
                  <w:p w14:paraId="7EFB1B89" w14:textId="77777777" w:rsidR="0053131F" w:rsidRDefault="0053131F">
                    <w:pPr>
                      <w:spacing w:after="0" w:line="240" w:lineRule="auto"/>
                      <w:rPr>
                        <w:rFonts w:ascii="Courier New" w:hAnsi="Courier New" w:cs="Courier New"/>
                        <w:sz w:val="15"/>
                        <w:szCs w:val="15"/>
                      </w:rPr>
                    </w:pPr>
                  </w:p>
                </w:txbxContent>
              </v:textbox>
            </v:shape>
            <v:shape id="_x0000_s1130" type="#_x0000_t202" style="position:absolute;left:3902;top:13702;width:5628;height:204;mso-position-horizontal-relative:page;mso-position-vertical-relative:page" filled="f" stroked="f">
              <v:textbox inset="0,0,0,0">
                <w:txbxContent>
                  <w:p w14:paraId="7EFB1B8A" w14:textId="77777777" w:rsidR="0053131F" w:rsidRDefault="0053131F">
                    <w:pPr>
                      <w:spacing w:after="0" w:line="240" w:lineRule="auto"/>
                      <w:rPr>
                        <w:rFonts w:ascii="Courier New" w:hAnsi="Courier New" w:cs="Courier New"/>
                        <w:sz w:val="15"/>
                        <w:szCs w:val="15"/>
                      </w:rPr>
                    </w:pPr>
                  </w:p>
                </w:txbxContent>
              </v:textbox>
            </v:shape>
            <v:shape id="_x0000_s1131" type="#_x0000_t202" style="position:absolute;left:3902;top:14182;width:5628;height:204;mso-position-horizontal-relative:page;mso-position-vertical-relative:page" filled="f" stroked="f">
              <v:textbox inset="0,0,0,0">
                <w:txbxContent>
                  <w:p w14:paraId="7EFB1B8B" w14:textId="77777777" w:rsidR="0053131F" w:rsidRDefault="0053131F">
                    <w:pPr>
                      <w:spacing w:after="0" w:line="240" w:lineRule="auto"/>
                      <w:rPr>
                        <w:rFonts w:ascii="Courier New" w:hAnsi="Courier New" w:cs="Courier New"/>
                        <w:sz w:val="15"/>
                        <w:szCs w:val="15"/>
                      </w:rPr>
                    </w:pPr>
                  </w:p>
                </w:txbxContent>
              </v:textbox>
            </v:shape>
            <w10:wrap anchorx="page" anchory="page"/>
          </v:group>
        </w:pict>
      </w:r>
    </w:p>
    <w:p w14:paraId="7EFB1ADA" w14:textId="77777777" w:rsidR="009F4AE0" w:rsidRDefault="005006E1" w:rsidP="009F4AE0">
      <w:pPr>
        <w:pageBreakBefore/>
        <w:rPr>
          <w:rFonts w:eastAsiaTheme="minorHAnsi" w:cs="Arial"/>
          <w:b/>
          <w:sz w:val="24"/>
          <w:szCs w:val="24"/>
        </w:rPr>
      </w:pPr>
      <w:r>
        <w:rPr>
          <w:rFonts w:eastAsiaTheme="minorHAnsi" w:cs="Arial"/>
          <w:b/>
          <w:sz w:val="24"/>
          <w:szCs w:val="24"/>
          <w:u w:val="single"/>
        </w:rPr>
        <w:lastRenderedPageBreak/>
        <w:t>THIS IS A SOURCES SOUGHT ANNOUNCEMENT ONLY.</w:t>
      </w:r>
      <w:r>
        <w:rPr>
          <w:rFonts w:eastAsiaTheme="minorHAnsi" w:cs="Arial"/>
          <w:b/>
          <w:sz w:val="24"/>
          <w:szCs w:val="24"/>
        </w:rPr>
        <w:t xml:space="preserve">  </w:t>
      </w:r>
    </w:p>
    <w:p w14:paraId="7EFB1ADB" w14:textId="77777777" w:rsidR="009F4AE0" w:rsidRDefault="005006E1" w:rsidP="009F4AE0">
      <w:pPr>
        <w:rPr>
          <w:rFonts w:eastAsiaTheme="minorHAnsi" w:cs="Arial"/>
          <w:b/>
          <w:sz w:val="24"/>
          <w:szCs w:val="24"/>
        </w:rPr>
      </w:pPr>
      <w:r>
        <w:rPr>
          <w:rFonts w:eastAsiaTheme="minorHAnsi" w:cs="Arial"/>
          <w:b/>
          <w:sz w:val="24"/>
          <w:szCs w:val="24"/>
        </w:rPr>
        <w:t>No Solicitation is currently available.</w:t>
      </w:r>
    </w:p>
    <w:p w14:paraId="7EFB1ADC" w14:textId="77777777" w:rsidR="009F4AE0" w:rsidRDefault="005006E1" w:rsidP="009F4AE0">
      <w:pPr>
        <w:rPr>
          <w:rFonts w:eastAsia="Times New Roman" w:cs="Times New Roman"/>
          <w:sz w:val="24"/>
          <w:szCs w:val="24"/>
        </w:rPr>
      </w:pPr>
      <w:r>
        <w:rPr>
          <w:rFonts w:eastAsia="Times New Roman" w:cs="Times New Roman"/>
          <w:sz w:val="24"/>
          <w:szCs w:val="24"/>
        </w:rPr>
        <w:t xml:space="preserve">All information contained in this Sources Sought Announcement is preliminary, as well as subject to modification, and is </w:t>
      </w:r>
      <w:r>
        <w:rPr>
          <w:rFonts w:eastAsia="Times New Roman" w:cs="Times New Roman"/>
          <w:sz w:val="24"/>
          <w:szCs w:val="24"/>
        </w:rPr>
        <w:t>in no way binding on the Government.  The Government will not pay for any information submitted in response to this request.  The information requested will be used solely within the Department of Veterans Affairs to facilitate decision making and will not</w:t>
      </w:r>
      <w:r>
        <w:rPr>
          <w:rFonts w:eastAsia="Times New Roman" w:cs="Times New Roman"/>
          <w:sz w:val="24"/>
          <w:szCs w:val="24"/>
        </w:rPr>
        <w:t xml:space="preserve"> be disclosed outside of the Government.  The determination of a procurement strategy, based upon the comments submitted in response to this Sources Sought Announcement, is solely within the discretion of the Government.</w:t>
      </w:r>
    </w:p>
    <w:p w14:paraId="7EFB1ADD" w14:textId="77777777" w:rsidR="009F4AE0" w:rsidRDefault="005006E1" w:rsidP="009F4AE0">
      <w:pPr>
        <w:spacing w:after="300" w:line="336" w:lineRule="atLeast"/>
        <w:rPr>
          <w:rFonts w:eastAsia="Times New Roman" w:cs="Arial"/>
          <w:sz w:val="24"/>
          <w:szCs w:val="24"/>
        </w:rPr>
      </w:pPr>
      <w:r>
        <w:rPr>
          <w:rFonts w:eastAsia="Times New Roman" w:cs="Arial"/>
          <w:sz w:val="24"/>
          <w:szCs w:val="24"/>
        </w:rPr>
        <w:t>The applicable North American Indus</w:t>
      </w:r>
      <w:r>
        <w:rPr>
          <w:rFonts w:eastAsia="Times New Roman" w:cs="Arial"/>
          <w:sz w:val="24"/>
          <w:szCs w:val="24"/>
        </w:rPr>
        <w:t xml:space="preserve">try Classification System (NAICS) Code is </w:t>
      </w:r>
      <w:r>
        <w:rPr>
          <w:rFonts w:eastAsia="Times New Roman" w:cs="Arial"/>
          <w:sz w:val="24"/>
          <w:szCs w:val="24"/>
        </w:rPr>
        <w:t>811219</w:t>
      </w:r>
      <w:r>
        <w:rPr>
          <w:rFonts w:eastAsia="Times New Roman" w:cs="Arial"/>
          <w:sz w:val="24"/>
          <w:szCs w:val="24"/>
        </w:rPr>
        <w:t xml:space="preserve">, </w:t>
      </w:r>
      <w:r w:rsidRPr="00346BAC">
        <w:rPr>
          <w:sz w:val="24"/>
          <w:szCs w:val="24"/>
          <w:lang w:val="en"/>
        </w:rPr>
        <w:t>Other Electronic and Precision Equipment Repair and Maintenance</w:t>
      </w:r>
      <w:r>
        <w:rPr>
          <w:rFonts w:eastAsia="Times New Roman" w:cs="Arial"/>
          <w:sz w:val="24"/>
          <w:szCs w:val="24"/>
        </w:rPr>
        <w:t>, and the s</w:t>
      </w:r>
      <w:r>
        <w:rPr>
          <w:rFonts w:eastAsia="Times New Roman" w:cs="Arial"/>
          <w:sz w:val="24"/>
          <w:szCs w:val="24"/>
        </w:rPr>
        <w:t xml:space="preserve">mall business size standard is </w:t>
      </w:r>
      <w:r>
        <w:rPr>
          <w:rFonts w:eastAsia="Times New Roman" w:cs="Arial"/>
          <w:sz w:val="24"/>
          <w:szCs w:val="24"/>
        </w:rPr>
        <w:t>$</w:t>
      </w:r>
      <w:r>
        <w:rPr>
          <w:rFonts w:eastAsia="Times New Roman" w:cs="Arial"/>
          <w:sz w:val="24"/>
          <w:szCs w:val="24"/>
        </w:rPr>
        <w:t>20</w:t>
      </w:r>
      <w:r>
        <w:rPr>
          <w:rFonts w:eastAsia="Times New Roman" w:cs="Arial"/>
          <w:sz w:val="24"/>
          <w:szCs w:val="24"/>
        </w:rPr>
        <w:t>.</w:t>
      </w:r>
      <w:r>
        <w:rPr>
          <w:rFonts w:eastAsia="Times New Roman" w:cs="Arial"/>
          <w:sz w:val="24"/>
          <w:szCs w:val="24"/>
        </w:rPr>
        <w:t>5</w:t>
      </w:r>
      <w:r>
        <w:rPr>
          <w:rFonts w:eastAsia="Times New Roman" w:cs="Arial"/>
          <w:sz w:val="24"/>
          <w:szCs w:val="24"/>
        </w:rPr>
        <w:t>M</w:t>
      </w:r>
      <w:r>
        <w:rPr>
          <w:rFonts w:eastAsia="Times New Roman" w:cs="Arial"/>
          <w:sz w:val="24"/>
          <w:szCs w:val="24"/>
        </w:rPr>
        <w:t>.</w:t>
      </w:r>
      <w:r>
        <w:rPr>
          <w:rFonts w:eastAsiaTheme="minorHAnsi" w:cs="Arial"/>
          <w:sz w:val="24"/>
          <w:szCs w:val="24"/>
        </w:rPr>
        <w:t xml:space="preserve"> </w:t>
      </w:r>
    </w:p>
    <w:p w14:paraId="7EFB1ADE" w14:textId="77777777" w:rsidR="009F4AE0" w:rsidRDefault="005006E1" w:rsidP="009F4AE0">
      <w:pPr>
        <w:spacing w:after="300" w:line="336" w:lineRule="atLeast"/>
        <w:rPr>
          <w:rFonts w:eastAsia="Times New Roman" w:cs="Arial"/>
          <w:sz w:val="24"/>
          <w:szCs w:val="24"/>
        </w:rPr>
      </w:pPr>
      <w:r>
        <w:rPr>
          <w:rFonts w:eastAsia="Times New Roman" w:cs="Arial"/>
          <w:sz w:val="24"/>
          <w:szCs w:val="24"/>
        </w:rPr>
        <w:t xml:space="preserve">Potential Offerors must be registered in the System for Award Management (SAM) to be eligible for an award (See Internet Site </w:t>
      </w:r>
      <w:hyperlink r:id="rId7" w:history="1">
        <w:r>
          <w:rPr>
            <w:rStyle w:val="Hyperlink"/>
            <w:rFonts w:eastAsia="Times New Roman" w:cs="Arial"/>
            <w:color w:val="05509E"/>
            <w:sz w:val="24"/>
            <w:szCs w:val="24"/>
          </w:rPr>
          <w:t>https://www.sam.gov/portal/public/SAM/</w:t>
        </w:r>
      </w:hyperlink>
      <w:r>
        <w:rPr>
          <w:rFonts w:eastAsia="Times New Roman" w:cs="Arial"/>
          <w:sz w:val="24"/>
          <w:szCs w:val="24"/>
        </w:rPr>
        <w:t>).  Potential Offerors must also have</w:t>
      </w:r>
      <w:r>
        <w:rPr>
          <w:rFonts w:eastAsia="Times New Roman" w:cs="Arial"/>
          <w:sz w:val="24"/>
          <w:szCs w:val="24"/>
        </w:rPr>
        <w:t xml:space="preserve"> a current Online Representations and Certification Application on file with SAM.</w:t>
      </w:r>
      <w:r>
        <w:rPr>
          <w:rFonts w:eastAsia="Times New Roman" w:cs="Arial"/>
          <w:sz w:val="24"/>
          <w:szCs w:val="24"/>
        </w:rPr>
        <w:t xml:space="preserve"> Service Disabled Veteran Owned and Veteran Owned Small Businesses must be registered and verified in the Department of Veterans Affairs Vendor Information Pages (VIP) (See In</w:t>
      </w:r>
      <w:r>
        <w:rPr>
          <w:rFonts w:eastAsia="Times New Roman" w:cs="Arial"/>
          <w:sz w:val="24"/>
          <w:szCs w:val="24"/>
        </w:rPr>
        <w:t>ternet Site</w:t>
      </w:r>
      <w:r w:rsidRPr="00DE49ED">
        <w:rPr>
          <w:rFonts w:eastAsia="Times New Roman" w:cs="Arial"/>
          <w:sz w:val="24"/>
          <w:szCs w:val="24"/>
        </w:rPr>
        <w:t xml:space="preserve"> </w:t>
      </w:r>
      <w:hyperlink r:id="rId8" w:history="1">
        <w:r w:rsidRPr="00B368A4">
          <w:rPr>
            <w:rStyle w:val="Hyperlink"/>
            <w:rFonts w:eastAsia="Times New Roman" w:cs="Arial"/>
            <w:sz w:val="24"/>
            <w:szCs w:val="24"/>
          </w:rPr>
          <w:t>https://www.vip.vetbiz.gov/</w:t>
        </w:r>
      </w:hyperlink>
      <w:r>
        <w:rPr>
          <w:rFonts w:eastAsia="Times New Roman" w:cs="Arial"/>
          <w:sz w:val="24"/>
          <w:szCs w:val="24"/>
        </w:rPr>
        <w:t>).</w:t>
      </w:r>
    </w:p>
    <w:p w14:paraId="7EFB1ADF" w14:textId="77777777" w:rsidR="00346BAC" w:rsidRDefault="005006E1" w:rsidP="00346BAC">
      <w:pPr>
        <w:spacing w:after="0"/>
        <w:rPr>
          <w:rFonts w:cs="Arial"/>
        </w:rPr>
      </w:pPr>
      <w:r w:rsidRPr="00346BAC">
        <w:rPr>
          <w:rFonts w:cs="Arial"/>
          <w:b/>
          <w:sz w:val="24"/>
          <w:szCs w:val="24"/>
          <w:u w:val="single"/>
        </w:rPr>
        <w:t xml:space="preserve">Brief </w:t>
      </w:r>
      <w:r w:rsidRPr="00346BAC">
        <w:rPr>
          <w:rFonts w:cs="Arial"/>
          <w:b/>
          <w:sz w:val="24"/>
          <w:szCs w:val="24"/>
          <w:u w:val="single"/>
        </w:rPr>
        <w:t>Description of Services</w:t>
      </w:r>
    </w:p>
    <w:p w14:paraId="7EFB1AE0" w14:textId="77777777" w:rsidR="00346BAC" w:rsidRPr="00346BAC" w:rsidRDefault="005006E1" w:rsidP="00346BAC">
      <w:pPr>
        <w:spacing w:after="120"/>
        <w:rPr>
          <w:rFonts w:cs="Arial"/>
          <w:b/>
          <w:u w:val="single"/>
        </w:rPr>
      </w:pPr>
      <w:r w:rsidRPr="00346BAC">
        <w:rPr>
          <w:rFonts w:cs="Arial"/>
        </w:rPr>
        <w:br/>
      </w:r>
      <w:r w:rsidRPr="00346BAC">
        <w:rPr>
          <w:b/>
        </w:rPr>
        <w:t>Background/Regulatory Information:</w:t>
      </w:r>
    </w:p>
    <w:p w14:paraId="7EFB1AE1" w14:textId="77777777" w:rsidR="00346BAC" w:rsidRPr="00346BAC" w:rsidRDefault="005006E1" w:rsidP="00346BAC">
      <w:pPr>
        <w:pStyle w:val="ListParagraph"/>
        <w:numPr>
          <w:ilvl w:val="0"/>
          <w:numId w:val="1"/>
        </w:numPr>
        <w:spacing w:after="0" w:line="240" w:lineRule="auto"/>
        <w:rPr>
          <w:b/>
        </w:rPr>
      </w:pPr>
      <w:r w:rsidRPr="00346BAC">
        <w:rPr>
          <w:b/>
        </w:rPr>
        <w:t xml:space="preserve">Per Centers for Medicare and Medicaid Services memorandum dated December 20, 2013, </w:t>
      </w:r>
    </w:p>
    <w:p w14:paraId="7EFB1AE2" w14:textId="77777777" w:rsidR="00346BAC" w:rsidRPr="00346BAC" w:rsidRDefault="005006E1" w:rsidP="00346BAC">
      <w:pPr>
        <w:pStyle w:val="ListParagraph"/>
        <w:numPr>
          <w:ilvl w:val="1"/>
          <w:numId w:val="1"/>
        </w:numPr>
        <w:spacing w:after="0" w:line="240" w:lineRule="auto"/>
      </w:pPr>
      <w:r w:rsidRPr="00346BAC">
        <w:t xml:space="preserve">Hospital Facilities, supplies and equipment must be maintained to ensure an acceptable level of safety and quality </w:t>
      </w:r>
    </w:p>
    <w:p w14:paraId="7EFB1AE3" w14:textId="77777777" w:rsidR="00346BAC" w:rsidRPr="00346BAC" w:rsidRDefault="005006E1" w:rsidP="00346BAC">
      <w:pPr>
        <w:pStyle w:val="ListParagraph"/>
        <w:numPr>
          <w:ilvl w:val="1"/>
          <w:numId w:val="1"/>
        </w:numPr>
        <w:spacing w:after="0" w:line="240" w:lineRule="auto"/>
      </w:pPr>
      <w:r w:rsidRPr="00346BAC">
        <w:t>A hospital may adjust its maintenance, inspection, and testing frequency and activities for facility and medical equipment from what is reco</w:t>
      </w:r>
      <w:r w:rsidRPr="00346BAC">
        <w:t xml:space="preserve">mmended by the manufacturer, based on a risk-based assessment by qualified personnel </w:t>
      </w:r>
    </w:p>
    <w:p w14:paraId="7EFB1AE4" w14:textId="77777777" w:rsidR="00346BAC" w:rsidRPr="00346BAC" w:rsidRDefault="005006E1" w:rsidP="00346BAC">
      <w:pPr>
        <w:pStyle w:val="ListParagraph"/>
        <w:numPr>
          <w:ilvl w:val="1"/>
          <w:numId w:val="1"/>
        </w:numPr>
        <w:spacing w:after="0" w:line="240" w:lineRule="auto"/>
      </w:pPr>
      <w:r w:rsidRPr="00346BAC">
        <w:t>Hospital electing to adjust facility or medical equipment maintenance must develop policies and procedures and maintain documentation supporting their Alternate Equipment</w:t>
      </w:r>
      <w:r w:rsidRPr="00346BAC">
        <w:t xml:space="preserve"> Management (AEM) program.  They must adhere strictly to the AEM activities and/or frequencies they establish. </w:t>
      </w:r>
    </w:p>
    <w:p w14:paraId="7EFB1AE5" w14:textId="77777777" w:rsidR="00346BAC" w:rsidRPr="00346BAC" w:rsidRDefault="005006E1" w:rsidP="00346BAC">
      <w:pPr>
        <w:pStyle w:val="ListParagraph"/>
        <w:numPr>
          <w:ilvl w:val="0"/>
          <w:numId w:val="1"/>
        </w:numPr>
        <w:spacing w:after="0" w:line="240" w:lineRule="auto"/>
        <w:rPr>
          <w:b/>
        </w:rPr>
      </w:pPr>
      <w:r w:rsidRPr="00346BAC">
        <w:rPr>
          <w:b/>
        </w:rPr>
        <w:t>Per Centers for Disease Control (CDC) Guidelines for Disinfection and Sterilization in Healthcare Facilities, 2008</w:t>
      </w:r>
    </w:p>
    <w:p w14:paraId="7EFB1AE6" w14:textId="77777777" w:rsidR="00346BAC" w:rsidRPr="00715D86" w:rsidRDefault="005006E1" w:rsidP="00346BAC">
      <w:pPr>
        <w:pStyle w:val="ListParagraph"/>
        <w:numPr>
          <w:ilvl w:val="1"/>
          <w:numId w:val="1"/>
        </w:numPr>
        <w:spacing w:after="0" w:line="240" w:lineRule="auto"/>
      </w:pPr>
      <w:r w:rsidRPr="00346BAC">
        <w:rPr>
          <w:b/>
          <w:u w:val="single"/>
        </w:rPr>
        <w:t>Category II recommendation:</w:t>
      </w:r>
      <w:r w:rsidRPr="00346BAC">
        <w:rPr>
          <w:b/>
        </w:rPr>
        <w:t xml:space="preserve">  </w:t>
      </w:r>
      <w:r w:rsidRPr="00346BAC">
        <w:rPr>
          <w:b/>
        </w:rPr>
        <w:t xml:space="preserve"> </w:t>
      </w:r>
      <w:r w:rsidRPr="00346BAC">
        <w:t xml:space="preserve">to inspect equipment surfaces for breaks in integrity that would impair either cleaning or disinfection/sterilization.  Discard or repair equipment that no longer functions as intended or cannot be properly </w:t>
      </w:r>
      <w:r w:rsidRPr="00715D86">
        <w:t xml:space="preserve">cleaned, and disinfected or sterilized. </w:t>
      </w:r>
    </w:p>
    <w:p w14:paraId="7EFB1AE7" w14:textId="77777777" w:rsidR="00346BAC" w:rsidRPr="00715D86" w:rsidRDefault="005006E1" w:rsidP="00346BAC">
      <w:pPr>
        <w:pStyle w:val="ListParagraph"/>
        <w:numPr>
          <w:ilvl w:val="1"/>
          <w:numId w:val="1"/>
        </w:numPr>
        <w:spacing w:after="0" w:line="240" w:lineRule="auto"/>
        <w:rPr>
          <w:b/>
        </w:rPr>
      </w:pPr>
      <w:r w:rsidRPr="00715D86">
        <w:rPr>
          <w:b/>
          <w:u w:val="single"/>
        </w:rPr>
        <w:t>Categor</w:t>
      </w:r>
      <w:r w:rsidRPr="00715D86">
        <w:rPr>
          <w:b/>
          <w:u w:val="single"/>
        </w:rPr>
        <w:t>y 1B recommendation:</w:t>
      </w:r>
      <w:r w:rsidRPr="00715D86">
        <w:rPr>
          <w:b/>
        </w:rPr>
        <w:t xml:space="preserve">  </w:t>
      </w:r>
      <w:r w:rsidRPr="00715D86">
        <w:rPr>
          <w:lang w:val="en"/>
        </w:rPr>
        <w:t>Provide comprehensive and intensive training for all staff assigned to reprocess semi-critical and critical medical/surgical instruments to ensure they understand the importance of reprocessing these instruments. To achieve and mainta</w:t>
      </w:r>
      <w:r w:rsidRPr="00715D86">
        <w:rPr>
          <w:lang w:val="en"/>
        </w:rPr>
        <w:t xml:space="preserve">in competency, train each member of the staff that reprocesses semi-critical and/or critical instruments as follows: </w:t>
      </w:r>
    </w:p>
    <w:p w14:paraId="7EFB1AE8" w14:textId="77777777" w:rsidR="00346BAC" w:rsidRPr="00715D86" w:rsidRDefault="005006E1" w:rsidP="00346BAC">
      <w:pPr>
        <w:pStyle w:val="ListParagraph"/>
        <w:numPr>
          <w:ilvl w:val="2"/>
          <w:numId w:val="1"/>
        </w:numPr>
        <w:spacing w:after="0" w:line="240" w:lineRule="auto"/>
        <w:rPr>
          <w:b/>
        </w:rPr>
      </w:pPr>
      <w:r w:rsidRPr="00715D86">
        <w:rPr>
          <w:lang w:val="en"/>
        </w:rPr>
        <w:lastRenderedPageBreak/>
        <w:t xml:space="preserve">provide hands-on training according to the institutional policy for reprocessing critical and semi-critical devices; </w:t>
      </w:r>
    </w:p>
    <w:p w14:paraId="7EFB1AE9" w14:textId="77777777" w:rsidR="00346BAC" w:rsidRPr="00715D86" w:rsidRDefault="005006E1" w:rsidP="00346BAC">
      <w:pPr>
        <w:pStyle w:val="ListParagraph"/>
        <w:numPr>
          <w:ilvl w:val="2"/>
          <w:numId w:val="1"/>
        </w:numPr>
        <w:spacing w:after="0" w:line="240" w:lineRule="auto"/>
        <w:rPr>
          <w:b/>
        </w:rPr>
      </w:pPr>
      <w:r w:rsidRPr="00715D86">
        <w:rPr>
          <w:lang w:val="en"/>
        </w:rPr>
        <w:t>supervise all work u</w:t>
      </w:r>
      <w:r w:rsidRPr="00715D86">
        <w:rPr>
          <w:lang w:val="en"/>
        </w:rPr>
        <w:t xml:space="preserve">ntil competency is documented for each reprocessing task; </w:t>
      </w:r>
    </w:p>
    <w:p w14:paraId="7EFB1AEA" w14:textId="77777777" w:rsidR="00346BAC" w:rsidRPr="00715D86" w:rsidRDefault="005006E1" w:rsidP="00346BAC">
      <w:pPr>
        <w:pStyle w:val="ListParagraph"/>
        <w:numPr>
          <w:ilvl w:val="2"/>
          <w:numId w:val="1"/>
        </w:numPr>
        <w:spacing w:after="0" w:line="240" w:lineRule="auto"/>
        <w:rPr>
          <w:b/>
        </w:rPr>
      </w:pPr>
      <w:r w:rsidRPr="00715D86">
        <w:rPr>
          <w:lang w:val="en"/>
        </w:rPr>
        <w:t xml:space="preserve">conduct competency testing at beginning of employment and regularly thereafter (e.g., annually); and </w:t>
      </w:r>
    </w:p>
    <w:p w14:paraId="7EFB1AEB" w14:textId="77777777" w:rsidR="00346BAC" w:rsidRPr="00346BAC" w:rsidRDefault="005006E1" w:rsidP="00346BAC">
      <w:pPr>
        <w:pStyle w:val="ListParagraph"/>
        <w:numPr>
          <w:ilvl w:val="2"/>
          <w:numId w:val="1"/>
        </w:numPr>
        <w:spacing w:after="0" w:line="240" w:lineRule="auto"/>
        <w:rPr>
          <w:b/>
        </w:rPr>
      </w:pPr>
      <w:r w:rsidRPr="00715D86">
        <w:rPr>
          <w:lang w:val="en"/>
        </w:rPr>
        <w:t>review the written reprocessing instructions regularly to ensure they comply with the scientifi</w:t>
      </w:r>
      <w:r w:rsidRPr="00715D86">
        <w:rPr>
          <w:lang w:val="en"/>
        </w:rPr>
        <w:t>c literature and the manufacturers' instructions</w:t>
      </w:r>
      <w:r w:rsidRPr="00715D86">
        <w:rPr>
          <w:b/>
        </w:rPr>
        <w:t xml:space="preserve"> </w:t>
      </w:r>
    </w:p>
    <w:p w14:paraId="7EFB1AEC" w14:textId="77777777" w:rsidR="00346BAC" w:rsidRPr="00715D86" w:rsidRDefault="005006E1" w:rsidP="00346BAC">
      <w:pPr>
        <w:rPr>
          <w:b/>
          <w:u w:val="single"/>
        </w:rPr>
      </w:pPr>
      <w:r w:rsidRPr="00715D86">
        <w:rPr>
          <w:b/>
        </w:rPr>
        <w:t xml:space="preserve">3.  </w:t>
      </w:r>
      <w:r w:rsidRPr="00715D86">
        <w:rPr>
          <w:b/>
          <w:u w:val="single"/>
        </w:rPr>
        <w:t xml:space="preserve">Scope. </w:t>
      </w:r>
    </w:p>
    <w:p w14:paraId="7EFB1AED" w14:textId="77777777" w:rsidR="00346BAC" w:rsidRPr="00715D86" w:rsidRDefault="005006E1" w:rsidP="00346BAC">
      <w:pPr>
        <w:ind w:firstLine="270"/>
      </w:pPr>
      <w:r w:rsidRPr="007B12E1">
        <w:t>VA Southern Nevada Healthcare System</w:t>
      </w:r>
      <w:r w:rsidRPr="007B12E1">
        <w:t xml:space="preserve"> is request</w:t>
      </w:r>
      <w:r w:rsidRPr="00715D86">
        <w:t xml:space="preserve">ing the following: </w:t>
      </w:r>
    </w:p>
    <w:p w14:paraId="7EFB1AEE" w14:textId="77777777" w:rsidR="00346BAC" w:rsidRPr="00346BAC" w:rsidRDefault="005006E1" w:rsidP="00346BAC">
      <w:pPr>
        <w:pStyle w:val="ListParagraph"/>
        <w:numPr>
          <w:ilvl w:val="0"/>
          <w:numId w:val="2"/>
        </w:numPr>
        <w:spacing w:after="0" w:line="240" w:lineRule="auto"/>
        <w:rPr>
          <w:b/>
        </w:rPr>
      </w:pPr>
      <w:r w:rsidRPr="00715D86">
        <w:rPr>
          <w:b/>
        </w:rPr>
        <w:t xml:space="preserve">Work shall be accomplished on weekdays between the hours of 0700-1530 in order to facilitate patient care. </w:t>
      </w:r>
    </w:p>
    <w:p w14:paraId="7EFB1AEF" w14:textId="77777777" w:rsidR="00346BAC" w:rsidRPr="00715D86" w:rsidRDefault="005006E1" w:rsidP="00346BAC">
      <w:pPr>
        <w:pStyle w:val="ListParagraph"/>
        <w:numPr>
          <w:ilvl w:val="0"/>
          <w:numId w:val="2"/>
        </w:numPr>
        <w:spacing w:after="0" w:line="240" w:lineRule="auto"/>
      </w:pPr>
      <w:r w:rsidRPr="00715D86">
        <w:rPr>
          <w:b/>
        </w:rPr>
        <w:t>At least 97% of all</w:t>
      </w:r>
      <w:r w:rsidRPr="00715D86">
        <w:rPr>
          <w:b/>
        </w:rPr>
        <w:t xml:space="preserve"> work will be done on-site at VA Southern Nevada Healthcare System via a mobile service.  The remaining 3% may need to be serviced in our Lab to ensure proper repair.  All welding needed must be completed on campus</w:t>
      </w:r>
    </w:p>
    <w:p w14:paraId="7EFB1AF0" w14:textId="77777777" w:rsidR="00346BAC" w:rsidRPr="00346BAC" w:rsidRDefault="005006E1" w:rsidP="00346BAC">
      <w:pPr>
        <w:pStyle w:val="ListParagraph"/>
        <w:numPr>
          <w:ilvl w:val="0"/>
          <w:numId w:val="2"/>
        </w:numPr>
        <w:spacing w:after="0" w:line="240" w:lineRule="auto"/>
        <w:rPr>
          <w:b/>
        </w:rPr>
      </w:pPr>
      <w:r w:rsidRPr="00715D86">
        <w:rPr>
          <w:b/>
        </w:rPr>
        <w:t>Technical staffs must be certified by eit</w:t>
      </w:r>
      <w:r w:rsidRPr="00715D86">
        <w:rPr>
          <w:b/>
        </w:rPr>
        <w:t xml:space="preserve">her the International Association of Healthcare Central Services Materials Management (IAHCSMM) or the Certification Board for Sterile Processing and Distribution (CBSPD). </w:t>
      </w:r>
    </w:p>
    <w:p w14:paraId="7EFB1AF1" w14:textId="26C73F1A" w:rsidR="00346BAC" w:rsidRPr="00346BAC" w:rsidRDefault="005006E1" w:rsidP="00346BAC">
      <w:pPr>
        <w:pStyle w:val="ListParagraph"/>
        <w:numPr>
          <w:ilvl w:val="0"/>
          <w:numId w:val="2"/>
        </w:numPr>
        <w:spacing w:after="0" w:line="240" w:lineRule="auto"/>
        <w:rPr>
          <w:b/>
        </w:rPr>
      </w:pPr>
      <w:r w:rsidRPr="00715D86">
        <w:rPr>
          <w:b/>
        </w:rPr>
        <w:t>Mobile On-Site services will be provided over 6 service visits annually.  These ser</w:t>
      </w:r>
      <w:r w:rsidRPr="00715D86">
        <w:rPr>
          <w:b/>
        </w:rPr>
        <w:t>vice visits will be scheduled with the customer contact and occur roughly every other month.  Additional on-site services may be needed based on demand</w:t>
      </w:r>
      <w:r w:rsidR="007B12E1">
        <w:rPr>
          <w:b/>
        </w:rPr>
        <w:t xml:space="preserve">. Upon completion of </w:t>
      </w:r>
      <w:r>
        <w:rPr>
          <w:b/>
        </w:rPr>
        <w:t xml:space="preserve">the </w:t>
      </w:r>
      <w:r w:rsidR="007B12E1">
        <w:rPr>
          <w:b/>
        </w:rPr>
        <w:t>period of performance</w:t>
      </w:r>
      <w:r>
        <w:rPr>
          <w:b/>
        </w:rPr>
        <w:t xml:space="preserve"> for each year</w:t>
      </w:r>
      <w:r w:rsidR="007B12E1">
        <w:rPr>
          <w:b/>
        </w:rPr>
        <w:t xml:space="preserve">, the VA and contractor will review </w:t>
      </w:r>
      <w:r>
        <w:rPr>
          <w:b/>
        </w:rPr>
        <w:t>actual re</w:t>
      </w:r>
      <w:r w:rsidR="007B12E1">
        <w:rPr>
          <w:b/>
        </w:rPr>
        <w:t>p</w:t>
      </w:r>
      <w:r>
        <w:rPr>
          <w:b/>
        </w:rPr>
        <w:t>a</w:t>
      </w:r>
      <w:r w:rsidR="007B12E1">
        <w:rPr>
          <w:b/>
        </w:rPr>
        <w:t>i</w:t>
      </w:r>
      <w:r>
        <w:rPr>
          <w:b/>
        </w:rPr>
        <w:t xml:space="preserve">r volume to determine if a modification will be needed to adjust the costs for any variance between actual repair consumption and annual contract amount. </w:t>
      </w:r>
      <w:r w:rsidR="007B12E1">
        <w:rPr>
          <w:b/>
        </w:rPr>
        <w:t xml:space="preserve"> </w:t>
      </w:r>
      <w:r w:rsidRPr="00715D86">
        <w:rPr>
          <w:b/>
        </w:rPr>
        <w:t xml:space="preserve"> </w:t>
      </w:r>
    </w:p>
    <w:p w14:paraId="7EFB1AF2" w14:textId="721CE311" w:rsidR="00346BAC" w:rsidRPr="00346BAC" w:rsidRDefault="005006E1" w:rsidP="00346BAC">
      <w:pPr>
        <w:pStyle w:val="ListParagraph"/>
        <w:numPr>
          <w:ilvl w:val="0"/>
          <w:numId w:val="2"/>
        </w:numPr>
        <w:spacing w:after="0" w:line="240" w:lineRule="auto"/>
        <w:rPr>
          <w:b/>
          <w:u w:val="single"/>
        </w:rPr>
      </w:pPr>
      <w:r w:rsidRPr="00715D86">
        <w:rPr>
          <w:b/>
        </w:rPr>
        <w:t>A quantity of 5 Sterilizer chambers will b</w:t>
      </w:r>
      <w:r w:rsidRPr="00715D86">
        <w:rPr>
          <w:b/>
        </w:rPr>
        <w:t xml:space="preserve">e cleaned and removed all stains on-site over 2 service visits annually.  These service visits will be scheduled with the customer contact and occur roughly every 6 months.  </w:t>
      </w:r>
      <w:r w:rsidRPr="00715D86">
        <w:rPr>
          <w:b/>
        </w:rPr>
        <w:t>Additional on-site services may be needed based on demand</w:t>
      </w:r>
      <w:r>
        <w:rPr>
          <w:b/>
        </w:rPr>
        <w:t>. Upon completion of the period of performance for each year, the VA and contractor will review actual repair volume to determine if a modification will be needed to adjust the costs for any variance between actual repair consumption and annual contract amount.</w:t>
      </w:r>
      <w:r w:rsidRPr="00715D86">
        <w:rPr>
          <w:b/>
        </w:rPr>
        <w:t>.</w:t>
      </w:r>
    </w:p>
    <w:p w14:paraId="7EFB1AF3" w14:textId="048C58C6" w:rsidR="00346BAC" w:rsidRPr="00346BAC" w:rsidRDefault="005006E1" w:rsidP="00346BAC">
      <w:pPr>
        <w:pStyle w:val="ListParagraph"/>
        <w:numPr>
          <w:ilvl w:val="0"/>
          <w:numId w:val="2"/>
        </w:numPr>
        <w:spacing w:after="0" w:line="240" w:lineRule="auto"/>
        <w:rPr>
          <w:b/>
          <w:u w:val="single"/>
        </w:rPr>
      </w:pPr>
      <w:r w:rsidRPr="00715D86">
        <w:rPr>
          <w:b/>
        </w:rPr>
        <w:t>A quantity of 50 Case Carts will be serviced on-site over 6 service visits annually (6 days of service total annually).  These service visits will be scheduled with the customer contact and occur roughly every other mon</w:t>
      </w:r>
      <w:r w:rsidRPr="00715D86">
        <w:rPr>
          <w:b/>
        </w:rPr>
        <w:t xml:space="preserve">th.  </w:t>
      </w:r>
      <w:r w:rsidRPr="00715D86">
        <w:rPr>
          <w:b/>
        </w:rPr>
        <w:t>Additional on-site services may be needed based on demand</w:t>
      </w:r>
      <w:r>
        <w:rPr>
          <w:b/>
        </w:rPr>
        <w:t>. Upon completion of the period of performance for each year, the VA and contractor will review actual repair volume to determine if a modification will be needed to adjust the costs for any variance between actual repair consumption and annual contract amount.</w:t>
      </w:r>
    </w:p>
    <w:p w14:paraId="7EFB1AF4" w14:textId="6A0DC8FF" w:rsidR="00346BAC" w:rsidRPr="00346BAC" w:rsidRDefault="005006E1" w:rsidP="00346BAC">
      <w:pPr>
        <w:pStyle w:val="ListParagraph"/>
        <w:numPr>
          <w:ilvl w:val="0"/>
          <w:numId w:val="2"/>
        </w:numPr>
        <w:spacing w:after="0" w:line="240" w:lineRule="auto"/>
        <w:rPr>
          <w:b/>
        </w:rPr>
      </w:pPr>
      <w:r w:rsidRPr="00715D86">
        <w:rPr>
          <w:b/>
        </w:rPr>
        <w:t>All other rolling stock items (Ring Stands, IV Poles, Backtables, Etc) can also be serviced on-site per customer request.  Please ke</w:t>
      </w:r>
      <w:r w:rsidRPr="00715D86">
        <w:rPr>
          <w:b/>
        </w:rPr>
        <w:t>ep in mind that this may re</w:t>
      </w:r>
      <w:r>
        <w:rPr>
          <w:b/>
        </w:rPr>
        <w:t xml:space="preserve">quire additional service visits. </w:t>
      </w:r>
      <w:r>
        <w:rPr>
          <w:b/>
        </w:rPr>
        <w:t>Upon completion of the period of performance for each year, the VA and contractor will review actual repair volume to determine if a modification will be needed to adjust the costs for any variance between actual repair consumption and annual contract amount.</w:t>
      </w:r>
      <w:r w:rsidRPr="00715D86">
        <w:rPr>
          <w:b/>
        </w:rPr>
        <w:t xml:space="preserve"> </w:t>
      </w:r>
    </w:p>
    <w:p w14:paraId="7EFB1AF5" w14:textId="77777777" w:rsidR="00346BAC" w:rsidRPr="00715D86" w:rsidRDefault="005006E1" w:rsidP="00346BAC">
      <w:pPr>
        <w:pStyle w:val="ListParagraph"/>
        <w:numPr>
          <w:ilvl w:val="0"/>
          <w:numId w:val="2"/>
        </w:numPr>
        <w:spacing w:after="0" w:line="240" w:lineRule="auto"/>
        <w:rPr>
          <w:b/>
        </w:rPr>
      </w:pPr>
      <w:r w:rsidRPr="00715D86">
        <w:rPr>
          <w:b/>
        </w:rPr>
        <w:t>Vendor will provide preventative maintenance, specialty repair and services to include but not limited to the following devices:</w:t>
      </w:r>
    </w:p>
    <w:p w14:paraId="7EFB1AF6" w14:textId="77777777" w:rsidR="00346BAC" w:rsidRPr="00715D86" w:rsidRDefault="005006E1" w:rsidP="00346BAC">
      <w:pPr>
        <w:pStyle w:val="ListParagraph"/>
        <w:numPr>
          <w:ilvl w:val="1"/>
          <w:numId w:val="2"/>
        </w:numPr>
        <w:spacing w:after="0" w:line="240" w:lineRule="auto"/>
      </w:pPr>
      <w:r w:rsidRPr="00715D86">
        <w:t>Case Carts</w:t>
      </w:r>
    </w:p>
    <w:p w14:paraId="7EFB1AF7" w14:textId="30346DD1" w:rsidR="00346BAC" w:rsidRPr="00715D86" w:rsidRDefault="005006E1" w:rsidP="00346BAC">
      <w:pPr>
        <w:pStyle w:val="ListParagraph"/>
        <w:numPr>
          <w:ilvl w:val="1"/>
          <w:numId w:val="2"/>
        </w:numPr>
        <w:spacing w:after="0" w:line="240" w:lineRule="auto"/>
      </w:pPr>
      <w:r w:rsidRPr="00715D86">
        <w:t xml:space="preserve">IV Poles </w:t>
      </w:r>
    </w:p>
    <w:p w14:paraId="7EFB1AF8" w14:textId="7EC83102" w:rsidR="00346BAC" w:rsidRPr="00715D86" w:rsidRDefault="005006E1" w:rsidP="00346BAC">
      <w:pPr>
        <w:pStyle w:val="ListParagraph"/>
        <w:numPr>
          <w:ilvl w:val="1"/>
          <w:numId w:val="2"/>
        </w:numPr>
        <w:spacing w:after="0" w:line="240" w:lineRule="auto"/>
      </w:pPr>
      <w:r w:rsidRPr="00715D86">
        <w:t xml:space="preserve">Mayo Stands </w:t>
      </w:r>
    </w:p>
    <w:p w14:paraId="7EFB1AF9" w14:textId="589C8EDF" w:rsidR="00346BAC" w:rsidRPr="00715D86" w:rsidRDefault="005006E1" w:rsidP="00346BAC">
      <w:pPr>
        <w:pStyle w:val="ListParagraph"/>
        <w:numPr>
          <w:ilvl w:val="1"/>
          <w:numId w:val="2"/>
        </w:numPr>
        <w:spacing w:after="0" w:line="240" w:lineRule="auto"/>
      </w:pPr>
      <w:r w:rsidRPr="00715D86">
        <w:t xml:space="preserve">Back Tables </w:t>
      </w:r>
    </w:p>
    <w:p w14:paraId="7EFB1AFA" w14:textId="56B828D2" w:rsidR="00346BAC" w:rsidRPr="005006E1" w:rsidRDefault="005006E1" w:rsidP="00346BAC">
      <w:pPr>
        <w:pStyle w:val="ListParagraph"/>
        <w:numPr>
          <w:ilvl w:val="1"/>
          <w:numId w:val="2"/>
        </w:numPr>
        <w:spacing w:after="0" w:line="240" w:lineRule="auto"/>
      </w:pPr>
      <w:r w:rsidRPr="00715D86">
        <w:t xml:space="preserve">General Stainless Equipment (Rolling Stock) </w:t>
      </w:r>
    </w:p>
    <w:p w14:paraId="7202E8BD" w14:textId="6F61573F" w:rsidR="005006E1" w:rsidRPr="00715D86" w:rsidRDefault="005006E1" w:rsidP="005006E1">
      <w:pPr>
        <w:spacing w:after="0" w:line="240" w:lineRule="auto"/>
        <w:ind w:left="630"/>
      </w:pPr>
      <w:r w:rsidRPr="005006E1">
        <w:rPr>
          <w:b/>
        </w:rPr>
        <w:t>Upon completion of the period of performance for each year, the VA and contractor will review actual repair volume to determine if a modification will be needed to adjust the costs for any variance between actual repair consumption and annual contract amount.</w:t>
      </w:r>
    </w:p>
    <w:p w14:paraId="7EFB1AFB" w14:textId="77777777" w:rsidR="00346BAC" w:rsidRPr="00715D86" w:rsidRDefault="005006E1" w:rsidP="00346BAC">
      <w:pPr>
        <w:pStyle w:val="ListParagraph"/>
        <w:ind w:left="1440"/>
      </w:pPr>
    </w:p>
    <w:p w14:paraId="7EFB1AFC" w14:textId="77777777" w:rsidR="00346BAC" w:rsidRPr="00346BAC" w:rsidRDefault="005006E1" w:rsidP="00346BAC">
      <w:pPr>
        <w:pStyle w:val="ListParagraph"/>
        <w:numPr>
          <w:ilvl w:val="0"/>
          <w:numId w:val="2"/>
        </w:numPr>
        <w:spacing w:after="0" w:line="240" w:lineRule="auto"/>
        <w:rPr>
          <w:b/>
        </w:rPr>
      </w:pPr>
      <w:r w:rsidRPr="00715D86">
        <w:rPr>
          <w:b/>
        </w:rPr>
        <w:lastRenderedPageBreak/>
        <w:t xml:space="preserve">As part of the inspection </w:t>
      </w:r>
      <w:r w:rsidRPr="00715D86">
        <w:rPr>
          <w:b/>
        </w:rPr>
        <w:t>process, pictures of damaged instrumentation must be taken and uploaded to the web-based tool.  These pictures will assist in documentation of work completed, and will also be utilized as a training aid to assist SPS staff to point out appropriate errors a</w:t>
      </w:r>
      <w:r w:rsidRPr="00715D86">
        <w:rPr>
          <w:b/>
        </w:rPr>
        <w:t>nd assist in the inspection process.</w:t>
      </w:r>
    </w:p>
    <w:p w14:paraId="7EFB1AFD" w14:textId="77777777" w:rsidR="00346BAC" w:rsidRPr="00715D86" w:rsidRDefault="005006E1" w:rsidP="00346BAC">
      <w:pPr>
        <w:pStyle w:val="ListParagraph"/>
        <w:numPr>
          <w:ilvl w:val="0"/>
          <w:numId w:val="2"/>
        </w:numPr>
        <w:spacing w:after="0" w:line="240" w:lineRule="auto"/>
        <w:rPr>
          <w:b/>
        </w:rPr>
      </w:pPr>
      <w:r w:rsidRPr="00715D86">
        <w:rPr>
          <w:b/>
        </w:rPr>
        <w:t>Vendor must provide documentation and continued education to SPS staff that includes but is not limited to the following:</w:t>
      </w:r>
    </w:p>
    <w:p w14:paraId="7EFB1AFE" w14:textId="77777777" w:rsidR="00346BAC" w:rsidRPr="00715D86" w:rsidRDefault="005006E1" w:rsidP="00346BAC">
      <w:pPr>
        <w:pStyle w:val="ListParagraph"/>
        <w:numPr>
          <w:ilvl w:val="1"/>
          <w:numId w:val="2"/>
        </w:numPr>
        <w:spacing w:after="0" w:line="240" w:lineRule="auto"/>
      </w:pPr>
      <w:r w:rsidRPr="00715D86">
        <w:t>Provide at no additional cost to the government, Departmental evaluations that identify each touc</w:t>
      </w:r>
      <w:r w:rsidRPr="00715D86">
        <w:t xml:space="preserve">h point a device encounters in its usage cycle, as well as areas for process and care-and handling improvements </w:t>
      </w:r>
    </w:p>
    <w:p w14:paraId="7EFB1AFF" w14:textId="77777777" w:rsidR="00346BAC" w:rsidRPr="00715D86" w:rsidRDefault="005006E1" w:rsidP="00346BAC">
      <w:pPr>
        <w:pStyle w:val="ListParagraph"/>
        <w:numPr>
          <w:ilvl w:val="1"/>
          <w:numId w:val="2"/>
        </w:numPr>
        <w:spacing w:after="0" w:line="240" w:lineRule="auto"/>
      </w:pPr>
      <w:r w:rsidRPr="00715D86">
        <w:t>Provide at no additional cost to the government, Targeted staff education based on repair trends and departmental issues</w:t>
      </w:r>
    </w:p>
    <w:p w14:paraId="7EFB1B00" w14:textId="77777777" w:rsidR="00346BAC" w:rsidRPr="00715D86" w:rsidRDefault="005006E1" w:rsidP="00346BAC">
      <w:pPr>
        <w:pStyle w:val="ListParagraph"/>
        <w:numPr>
          <w:ilvl w:val="1"/>
          <w:numId w:val="2"/>
        </w:numPr>
        <w:spacing w:after="0" w:line="240" w:lineRule="auto"/>
      </w:pPr>
      <w:r w:rsidRPr="00715D86">
        <w:t>Provide at no addition</w:t>
      </w:r>
      <w:r w:rsidRPr="00715D86">
        <w:t xml:space="preserve">al cost to the government, Competency validations, with proof of competency provided for individual training records </w:t>
      </w:r>
    </w:p>
    <w:p w14:paraId="7EFB1B01" w14:textId="77777777" w:rsidR="00346BAC" w:rsidRPr="00715D86" w:rsidRDefault="005006E1" w:rsidP="00346BAC">
      <w:pPr>
        <w:pStyle w:val="ListParagraph"/>
        <w:numPr>
          <w:ilvl w:val="1"/>
          <w:numId w:val="2"/>
        </w:numPr>
        <w:spacing w:after="0" w:line="240" w:lineRule="auto"/>
      </w:pPr>
      <w:r w:rsidRPr="00715D86">
        <w:t xml:space="preserve">Provide at no additional cost to the government, In-service education to SPS staff on issues such as cleaning, care and handling. </w:t>
      </w:r>
    </w:p>
    <w:p w14:paraId="7EFB1B02" w14:textId="77777777" w:rsidR="00346BAC" w:rsidRPr="00715D86" w:rsidRDefault="005006E1" w:rsidP="00346BAC">
      <w:pPr>
        <w:pStyle w:val="ListParagraph"/>
        <w:numPr>
          <w:ilvl w:val="1"/>
          <w:numId w:val="2"/>
        </w:numPr>
        <w:spacing w:after="0" w:line="240" w:lineRule="auto"/>
      </w:pPr>
      <w:r w:rsidRPr="00715D86">
        <w:t>Provide</w:t>
      </w:r>
      <w:r w:rsidRPr="00715D86">
        <w:t xml:space="preserve"> at no additional cost to the government, a yearly SPS Management Seminar that includes but not limited to:</w:t>
      </w:r>
    </w:p>
    <w:p w14:paraId="7EFB1B03" w14:textId="77777777" w:rsidR="00346BAC" w:rsidRPr="00715D86" w:rsidRDefault="005006E1" w:rsidP="00346BAC">
      <w:pPr>
        <w:pStyle w:val="ListParagraph"/>
        <w:numPr>
          <w:ilvl w:val="2"/>
          <w:numId w:val="2"/>
        </w:numPr>
        <w:spacing w:after="0" w:line="240" w:lineRule="auto"/>
      </w:pPr>
      <w:r w:rsidRPr="00715D86">
        <w:t xml:space="preserve">Site visit to engineering and repair facility </w:t>
      </w:r>
    </w:p>
    <w:p w14:paraId="7EFB1B04" w14:textId="77777777" w:rsidR="00346BAC" w:rsidRPr="00715D86" w:rsidRDefault="005006E1" w:rsidP="00346BAC">
      <w:pPr>
        <w:pStyle w:val="ListParagraph"/>
        <w:numPr>
          <w:ilvl w:val="2"/>
          <w:numId w:val="2"/>
        </w:numPr>
        <w:spacing w:after="0" w:line="240" w:lineRule="auto"/>
      </w:pPr>
      <w:r w:rsidRPr="00715D86">
        <w:t xml:space="preserve">Discussion of repair issues and proper care and handling of rigid endoscopes, flexible endoscopes, power equipment, and phaco handpieces </w:t>
      </w:r>
    </w:p>
    <w:p w14:paraId="7EFB1B05" w14:textId="77777777" w:rsidR="00346BAC" w:rsidRPr="00715D86" w:rsidRDefault="005006E1" w:rsidP="00346BAC">
      <w:pPr>
        <w:pStyle w:val="ListParagraph"/>
        <w:numPr>
          <w:ilvl w:val="2"/>
          <w:numId w:val="2"/>
        </w:numPr>
        <w:spacing w:after="0" w:line="240" w:lineRule="auto"/>
      </w:pPr>
      <w:r w:rsidRPr="00715D86">
        <w:t xml:space="preserve">Discussion of programs to enhance management and administrative effectiveness. </w:t>
      </w:r>
    </w:p>
    <w:p w14:paraId="7EFB1B06" w14:textId="77777777" w:rsidR="00346BAC" w:rsidRPr="00715D86" w:rsidRDefault="005006E1" w:rsidP="00346BAC">
      <w:pPr>
        <w:rPr>
          <w:bCs/>
        </w:rPr>
      </w:pPr>
      <w:r w:rsidRPr="00715D86">
        <w:rPr>
          <w:b/>
        </w:rPr>
        <w:t xml:space="preserve">4. </w:t>
      </w:r>
      <w:r w:rsidRPr="00715D86">
        <w:rPr>
          <w:b/>
          <w:u w:val="single"/>
        </w:rPr>
        <w:t>Specifications</w:t>
      </w:r>
    </w:p>
    <w:p w14:paraId="7EFB1B07" w14:textId="77777777" w:rsidR="00346BAC" w:rsidRPr="00715D86" w:rsidRDefault="005006E1" w:rsidP="00346BAC">
      <w:pPr>
        <w:rPr>
          <w:bCs/>
        </w:rPr>
      </w:pPr>
      <w:r w:rsidRPr="00715D86">
        <w:rPr>
          <w:bCs/>
        </w:rPr>
        <w:t xml:space="preserve">Vendor will meet or </w:t>
      </w:r>
      <w:r w:rsidRPr="00715D86">
        <w:rPr>
          <w:bCs/>
        </w:rPr>
        <w:t>exceed the following salient characteristics:</w:t>
      </w:r>
    </w:p>
    <w:p w14:paraId="7EFB1B08" w14:textId="77777777" w:rsidR="00346BAC" w:rsidRPr="00715D86" w:rsidRDefault="005006E1" w:rsidP="00346BAC">
      <w:pPr>
        <w:rPr>
          <w:b/>
          <w:bCs/>
          <w:u w:val="single"/>
        </w:rPr>
      </w:pPr>
      <w:r w:rsidRPr="00715D86">
        <w:rPr>
          <w:b/>
          <w:bCs/>
          <w:u w:val="single"/>
        </w:rPr>
        <w:t>On-site Repairs</w:t>
      </w:r>
    </w:p>
    <w:p w14:paraId="7EFB1B09" w14:textId="77777777" w:rsidR="00346BAC" w:rsidRPr="00715D86" w:rsidRDefault="005006E1" w:rsidP="00346BAC">
      <w:pPr>
        <w:pStyle w:val="ListParagraph"/>
        <w:numPr>
          <w:ilvl w:val="0"/>
          <w:numId w:val="3"/>
        </w:numPr>
        <w:spacing w:after="0" w:line="240" w:lineRule="auto"/>
      </w:pPr>
      <w:r w:rsidRPr="00715D86">
        <w:t xml:space="preserve">All on-site repairs will be performed utilizing a mobile laboratory.  </w:t>
      </w:r>
    </w:p>
    <w:p w14:paraId="7EFB1B0A" w14:textId="77777777" w:rsidR="00346BAC" w:rsidRPr="00715D86" w:rsidRDefault="005006E1" w:rsidP="00346BAC">
      <w:pPr>
        <w:pStyle w:val="ListParagraph"/>
        <w:numPr>
          <w:ilvl w:val="0"/>
          <w:numId w:val="3"/>
        </w:numPr>
        <w:spacing w:after="0" w:line="240" w:lineRule="auto"/>
      </w:pPr>
      <w:r w:rsidRPr="00715D86">
        <w:rPr>
          <w:b/>
        </w:rPr>
        <w:t>97%</w:t>
      </w:r>
      <w:r w:rsidRPr="00715D86">
        <w:t xml:space="preserve"> percent of total workload will be performed within the mobile laboratory. </w:t>
      </w:r>
    </w:p>
    <w:p w14:paraId="7EFB1B0B" w14:textId="77FD8A17" w:rsidR="00346BAC" w:rsidRPr="00715D86" w:rsidRDefault="005006E1" w:rsidP="00346BAC">
      <w:pPr>
        <w:pStyle w:val="ListParagraph"/>
        <w:numPr>
          <w:ilvl w:val="0"/>
          <w:numId w:val="3"/>
        </w:numPr>
        <w:spacing w:after="0" w:line="240" w:lineRule="auto"/>
      </w:pPr>
      <w:r w:rsidRPr="00715D86">
        <w:t xml:space="preserve">On-Site repairs will be done </w:t>
      </w:r>
      <w:r w:rsidRPr="00715D86">
        <w:rPr>
          <w:b/>
        </w:rPr>
        <w:t>over 6 site vis</w:t>
      </w:r>
      <w:r w:rsidRPr="00715D86">
        <w:rPr>
          <w:b/>
        </w:rPr>
        <w:t>its annually roughly every other month. Additional on-site repairs may be performed at th</w:t>
      </w:r>
      <w:r>
        <w:rPr>
          <w:b/>
        </w:rPr>
        <w:t>e request of the medical center.</w:t>
      </w:r>
      <w:r w:rsidRPr="00715D86">
        <w:rPr>
          <w:b/>
        </w:rPr>
        <w:t xml:space="preserve"> </w:t>
      </w:r>
      <w:r>
        <w:rPr>
          <w:b/>
        </w:rPr>
        <w:t>Upon completion of the period of performance for each year, the VA and contractor will review actual repair volume to determine if a modification will be needed to adjust the costs for any variance between actual repair consump</w:t>
      </w:r>
      <w:r>
        <w:rPr>
          <w:b/>
        </w:rPr>
        <w:t>tion and annual contract amount</w:t>
      </w:r>
      <w:r w:rsidRPr="00715D86">
        <w:rPr>
          <w:b/>
        </w:rPr>
        <w:t>.</w:t>
      </w:r>
      <w:r w:rsidRPr="00715D86">
        <w:t xml:space="preserve"> </w:t>
      </w:r>
    </w:p>
    <w:p w14:paraId="7EFB1B0C" w14:textId="77777777" w:rsidR="00346BAC" w:rsidRPr="00715D86" w:rsidRDefault="005006E1" w:rsidP="00346BAC">
      <w:pPr>
        <w:pStyle w:val="ListParagraph"/>
        <w:numPr>
          <w:ilvl w:val="0"/>
          <w:numId w:val="3"/>
        </w:numPr>
        <w:spacing w:after="0" w:line="240" w:lineRule="auto"/>
      </w:pPr>
      <w:r w:rsidRPr="00715D86">
        <w:t>24-48 hours prior to service, vendor will provide SPS management with a list of equipment that ar</w:t>
      </w:r>
      <w:r w:rsidRPr="00715D86">
        <w:t xml:space="preserve">e scheduled for maintenance.  SPS will pull as many sets from this list as possible as not to jeopardize patient care. </w:t>
      </w:r>
    </w:p>
    <w:p w14:paraId="7EFB1B0D" w14:textId="77777777" w:rsidR="00346BAC" w:rsidRPr="00715D86" w:rsidRDefault="005006E1" w:rsidP="00346BAC">
      <w:pPr>
        <w:pStyle w:val="ListParagraph"/>
        <w:numPr>
          <w:ilvl w:val="0"/>
          <w:numId w:val="3"/>
        </w:numPr>
        <w:spacing w:after="0" w:line="240" w:lineRule="auto"/>
      </w:pPr>
      <w:r w:rsidRPr="00715D86">
        <w:t xml:space="preserve">On-site repair services will consist of the following for all </w:t>
      </w:r>
      <w:r w:rsidRPr="00715D86">
        <w:rPr>
          <w:b/>
        </w:rPr>
        <w:t>Case Carts</w:t>
      </w:r>
      <w:r w:rsidRPr="00715D86">
        <w:t>:</w:t>
      </w:r>
    </w:p>
    <w:p w14:paraId="7EFB1B0E" w14:textId="77777777" w:rsidR="00346BAC" w:rsidRPr="00715D86" w:rsidRDefault="005006E1" w:rsidP="00346BAC">
      <w:pPr>
        <w:pStyle w:val="ListParagraph"/>
        <w:numPr>
          <w:ilvl w:val="1"/>
          <w:numId w:val="3"/>
        </w:numPr>
        <w:spacing w:after="0" w:line="240" w:lineRule="auto"/>
      </w:pPr>
      <w:r w:rsidRPr="00715D86">
        <w:t>Repair, alignment, adjustment, tightening and general renewal</w:t>
      </w:r>
    </w:p>
    <w:p w14:paraId="7EFB1B0F" w14:textId="77777777" w:rsidR="00346BAC" w:rsidRPr="00715D86" w:rsidRDefault="005006E1" w:rsidP="00346BAC">
      <w:pPr>
        <w:pStyle w:val="ListParagraph"/>
        <w:numPr>
          <w:ilvl w:val="1"/>
          <w:numId w:val="3"/>
        </w:numPr>
        <w:spacing w:after="0" w:line="240" w:lineRule="auto"/>
      </w:pPr>
      <w:r w:rsidRPr="00715D86">
        <w:t>Cleaning and removal of all tape and burrs</w:t>
      </w:r>
    </w:p>
    <w:p w14:paraId="7EFB1B10" w14:textId="77777777" w:rsidR="00346BAC" w:rsidRPr="00715D86" w:rsidRDefault="005006E1" w:rsidP="00346BAC">
      <w:pPr>
        <w:pStyle w:val="ListParagraph"/>
        <w:numPr>
          <w:ilvl w:val="1"/>
          <w:numId w:val="3"/>
        </w:numPr>
        <w:spacing w:after="0" w:line="240" w:lineRule="auto"/>
      </w:pPr>
      <w:r w:rsidRPr="00715D86">
        <w:t xml:space="preserve">Welding seams as needed </w:t>
      </w:r>
    </w:p>
    <w:p w14:paraId="7EFB1B11" w14:textId="77777777" w:rsidR="00346BAC" w:rsidRPr="00715D86" w:rsidRDefault="005006E1" w:rsidP="00346BAC">
      <w:pPr>
        <w:pStyle w:val="ListParagraph"/>
        <w:numPr>
          <w:ilvl w:val="1"/>
          <w:numId w:val="3"/>
        </w:numPr>
        <w:spacing w:after="0" w:line="240" w:lineRule="auto"/>
      </w:pPr>
      <w:r w:rsidRPr="00715D86">
        <w:t xml:space="preserve">Proper Casters </w:t>
      </w:r>
    </w:p>
    <w:p w14:paraId="7EFB1B12" w14:textId="77777777" w:rsidR="00346BAC" w:rsidRPr="00715D86" w:rsidRDefault="005006E1" w:rsidP="00346BAC">
      <w:pPr>
        <w:pStyle w:val="ListParagraph"/>
        <w:numPr>
          <w:ilvl w:val="1"/>
          <w:numId w:val="3"/>
        </w:numPr>
        <w:spacing w:after="0" w:line="240" w:lineRule="auto"/>
      </w:pPr>
      <w:r w:rsidRPr="00715D86">
        <w:t xml:space="preserve">Bumper Material </w:t>
      </w:r>
    </w:p>
    <w:p w14:paraId="7EFB1B13" w14:textId="77777777" w:rsidR="00346BAC" w:rsidRPr="00715D86" w:rsidRDefault="005006E1" w:rsidP="00346BAC">
      <w:pPr>
        <w:pStyle w:val="ListParagraph"/>
        <w:numPr>
          <w:ilvl w:val="1"/>
          <w:numId w:val="3"/>
        </w:numPr>
        <w:spacing w:after="0" w:line="240" w:lineRule="auto"/>
      </w:pPr>
      <w:r w:rsidRPr="00715D86">
        <w:t xml:space="preserve">Latches </w:t>
      </w:r>
    </w:p>
    <w:p w14:paraId="7EFB1B15" w14:textId="63B5121A" w:rsidR="00346BAC" w:rsidRDefault="005006E1" w:rsidP="00346BAC">
      <w:pPr>
        <w:pStyle w:val="ListParagraph"/>
        <w:numPr>
          <w:ilvl w:val="0"/>
          <w:numId w:val="3"/>
        </w:numPr>
        <w:spacing w:after="0" w:line="240" w:lineRule="auto"/>
      </w:pPr>
      <w:r w:rsidRPr="00715D86">
        <w:t xml:space="preserve">Tasks that cannot be performed via on-site repair may be taken to off-site lab for service.  Items must be hand delivered back to </w:t>
      </w:r>
      <w:r w:rsidRPr="00715D86">
        <w:rPr>
          <w:b/>
        </w:rPr>
        <w:t>VA Southern Neva</w:t>
      </w:r>
      <w:r w:rsidRPr="00715D86">
        <w:rPr>
          <w:b/>
        </w:rPr>
        <w:t>da Healthcare System</w:t>
      </w:r>
      <w:r w:rsidRPr="00715D86">
        <w:t>, SPS personnel.</w:t>
      </w:r>
      <w:r>
        <w:t xml:space="preserve"> </w:t>
      </w:r>
      <w:r>
        <w:rPr>
          <w:b/>
        </w:rPr>
        <w:t>Upon completion of the period of performance for each year, the VA and contractor will review actual repair volume to determine if a modification will be needed to adjust the costs for any variance between actual repair consumption and annual contract amount.</w:t>
      </w:r>
      <w:r w:rsidRPr="00715D86">
        <w:t xml:space="preserve">  </w:t>
      </w:r>
    </w:p>
    <w:p w14:paraId="34846BC1" w14:textId="77777777" w:rsidR="005006E1" w:rsidRPr="00715D86" w:rsidRDefault="005006E1" w:rsidP="005006E1">
      <w:pPr>
        <w:pStyle w:val="ListParagraph"/>
        <w:spacing w:after="0" w:line="240" w:lineRule="auto"/>
      </w:pPr>
    </w:p>
    <w:p w14:paraId="7EFB1B16" w14:textId="77777777" w:rsidR="00346BAC" w:rsidRPr="00715D86" w:rsidRDefault="005006E1" w:rsidP="00346BAC">
      <w:pPr>
        <w:pStyle w:val="ListParagraph"/>
        <w:numPr>
          <w:ilvl w:val="1"/>
          <w:numId w:val="3"/>
        </w:numPr>
        <w:spacing w:after="0" w:line="240" w:lineRule="auto"/>
      </w:pPr>
      <w:r w:rsidRPr="00715D86">
        <w:t>D</w:t>
      </w:r>
      <w:r w:rsidRPr="00715D86">
        <w:t>ental Power Equipment Repair and Restoration</w:t>
      </w:r>
    </w:p>
    <w:p w14:paraId="7EFB1B17" w14:textId="77777777" w:rsidR="00346BAC" w:rsidRPr="00715D86" w:rsidRDefault="005006E1" w:rsidP="00346BAC">
      <w:pPr>
        <w:pStyle w:val="ListParagraph"/>
        <w:numPr>
          <w:ilvl w:val="1"/>
          <w:numId w:val="3"/>
        </w:numPr>
        <w:spacing w:after="0" w:line="240" w:lineRule="auto"/>
      </w:pPr>
      <w:r w:rsidRPr="00715D86">
        <w:t>Endoscopic Camera and Light cord Repair and Restoration.</w:t>
      </w:r>
    </w:p>
    <w:p w14:paraId="7EFB1B18" w14:textId="77777777" w:rsidR="00346BAC" w:rsidRPr="00715D86" w:rsidRDefault="005006E1" w:rsidP="00346BAC">
      <w:pPr>
        <w:pStyle w:val="ListParagraph"/>
        <w:numPr>
          <w:ilvl w:val="1"/>
          <w:numId w:val="3"/>
        </w:numPr>
        <w:spacing w:after="0" w:line="240" w:lineRule="auto"/>
      </w:pPr>
      <w:r w:rsidRPr="00715D86">
        <w:t>Surgical Hand Instrumentation not able to be repaired on-site.</w:t>
      </w:r>
    </w:p>
    <w:p w14:paraId="7EFB1B19" w14:textId="77777777" w:rsidR="00346BAC" w:rsidRDefault="005006E1" w:rsidP="00346BAC">
      <w:pPr>
        <w:pStyle w:val="ListParagraph"/>
        <w:numPr>
          <w:ilvl w:val="1"/>
          <w:numId w:val="3"/>
        </w:numPr>
        <w:spacing w:after="0" w:line="240" w:lineRule="auto"/>
      </w:pPr>
      <w:r w:rsidRPr="00715D86">
        <w:lastRenderedPageBreak/>
        <w:t xml:space="preserve">Sterilization </w:t>
      </w:r>
      <w:r w:rsidRPr="00715D86">
        <w:t xml:space="preserve">Container Repairs not able to be repaired on-site </w:t>
      </w:r>
    </w:p>
    <w:p w14:paraId="7EFB1B1A" w14:textId="77777777" w:rsidR="00346BAC" w:rsidRPr="00715D86" w:rsidRDefault="005006E1" w:rsidP="00346BAC">
      <w:pPr>
        <w:pStyle w:val="ListParagraph"/>
        <w:spacing w:after="0" w:line="240" w:lineRule="auto"/>
        <w:ind w:left="1440"/>
      </w:pPr>
    </w:p>
    <w:p w14:paraId="7EFB1B1B" w14:textId="77777777" w:rsidR="00346BAC" w:rsidRPr="00715D86" w:rsidRDefault="005006E1" w:rsidP="00346BAC">
      <w:pPr>
        <w:rPr>
          <w:b/>
          <w:u w:val="single"/>
        </w:rPr>
      </w:pPr>
      <w:r w:rsidRPr="00715D86">
        <w:rPr>
          <w:b/>
          <w:u w:val="single"/>
        </w:rPr>
        <w:t>Documentation and Inspection</w:t>
      </w:r>
    </w:p>
    <w:p w14:paraId="7EFB1B1C" w14:textId="77777777" w:rsidR="00346BAC" w:rsidRPr="00715D86" w:rsidRDefault="005006E1" w:rsidP="00346BAC">
      <w:pPr>
        <w:pStyle w:val="ListParagraph"/>
        <w:numPr>
          <w:ilvl w:val="3"/>
          <w:numId w:val="3"/>
        </w:numPr>
        <w:spacing w:after="0" w:line="240" w:lineRule="auto"/>
        <w:ind w:left="810" w:hanging="450"/>
        <w:rPr>
          <w:u w:val="single"/>
        </w:rPr>
      </w:pPr>
      <w:r w:rsidRPr="00715D86">
        <w:t xml:space="preserve">Verification of Complete </w:t>
      </w:r>
      <w:r w:rsidRPr="00715D86">
        <w:rPr>
          <w:b/>
        </w:rPr>
        <w:t>Case Cart inventory</w:t>
      </w:r>
      <w:r w:rsidRPr="00715D86">
        <w:t xml:space="preserve"> </w:t>
      </w:r>
    </w:p>
    <w:p w14:paraId="7EFB1B1D" w14:textId="77777777" w:rsidR="00346BAC" w:rsidRPr="00715D86" w:rsidRDefault="005006E1" w:rsidP="00346BAC">
      <w:pPr>
        <w:pStyle w:val="ListParagraph"/>
        <w:numPr>
          <w:ilvl w:val="3"/>
          <w:numId w:val="3"/>
        </w:numPr>
        <w:spacing w:after="0" w:line="240" w:lineRule="auto"/>
        <w:ind w:left="810" w:hanging="450"/>
        <w:rPr>
          <w:u w:val="single"/>
        </w:rPr>
      </w:pPr>
      <w:r w:rsidRPr="00715D86">
        <w:t>Verification that equipment is in proper working order</w:t>
      </w:r>
    </w:p>
    <w:p w14:paraId="7EFB1B1E" w14:textId="77777777" w:rsidR="00346BAC" w:rsidRPr="00715D86" w:rsidRDefault="005006E1" w:rsidP="00346BAC">
      <w:pPr>
        <w:pStyle w:val="ListParagraph"/>
        <w:numPr>
          <w:ilvl w:val="3"/>
          <w:numId w:val="3"/>
        </w:numPr>
        <w:spacing w:after="0" w:line="240" w:lineRule="auto"/>
        <w:ind w:left="810" w:hanging="450"/>
        <w:rPr>
          <w:u w:val="single"/>
        </w:rPr>
      </w:pPr>
      <w:r w:rsidRPr="00715D86">
        <w:t>Visual Inspection of all equipment  being maintained/repaired</w:t>
      </w:r>
    </w:p>
    <w:p w14:paraId="7EFB1B1F" w14:textId="77777777" w:rsidR="00346BAC" w:rsidRPr="00715D86" w:rsidRDefault="005006E1" w:rsidP="00346BAC">
      <w:pPr>
        <w:pStyle w:val="ListParagraph"/>
        <w:numPr>
          <w:ilvl w:val="3"/>
          <w:numId w:val="3"/>
        </w:numPr>
        <w:spacing w:after="0" w:line="240" w:lineRule="auto"/>
        <w:ind w:left="810" w:hanging="450"/>
        <w:rPr>
          <w:u w:val="single"/>
        </w:rPr>
      </w:pPr>
      <w:r w:rsidRPr="00715D86">
        <w:t xml:space="preserve">Proactive </w:t>
      </w:r>
      <w:r w:rsidRPr="00715D86">
        <w:t>maintenance to maximize performance of instrumentation and provide for patient safety.</w:t>
      </w:r>
    </w:p>
    <w:p w14:paraId="7EFB1B20" w14:textId="77777777" w:rsidR="00346BAC" w:rsidRPr="00715D86" w:rsidRDefault="005006E1" w:rsidP="00346BAC">
      <w:pPr>
        <w:pStyle w:val="ListParagraph"/>
        <w:numPr>
          <w:ilvl w:val="3"/>
          <w:numId w:val="3"/>
        </w:numPr>
        <w:spacing w:after="0" w:line="240" w:lineRule="auto"/>
        <w:ind w:left="810" w:hanging="450"/>
        <w:rPr>
          <w:u w:val="single"/>
        </w:rPr>
      </w:pPr>
      <w:r w:rsidRPr="00715D86">
        <w:t xml:space="preserve">Documentation reports must be provided via a web-based tool that allows the end user to schedule Preventative Maintenance and management of </w:t>
      </w:r>
      <w:r w:rsidRPr="00715D86">
        <w:rPr>
          <w:b/>
        </w:rPr>
        <w:t>case cart</w:t>
      </w:r>
      <w:r w:rsidRPr="00715D86">
        <w:t xml:space="preserve"> and durable stainle</w:t>
      </w:r>
      <w:r w:rsidRPr="00715D86">
        <w:t>ss equipment.  Service dates should be color coded for quick identification of trays needing service.  This web-based tool must allow the end user to create customized reports based on the name of the tray, quantity of equipment, the last service date, and</w:t>
      </w:r>
      <w:r w:rsidRPr="00715D86">
        <w:t xml:space="preserve"> the next service date.</w:t>
      </w:r>
    </w:p>
    <w:p w14:paraId="7EFB1B21" w14:textId="77777777" w:rsidR="00346BAC" w:rsidRPr="00346BAC" w:rsidRDefault="005006E1" w:rsidP="00346BAC">
      <w:pPr>
        <w:pStyle w:val="ListParagraph"/>
        <w:numPr>
          <w:ilvl w:val="3"/>
          <w:numId w:val="3"/>
        </w:numPr>
        <w:spacing w:after="0" w:line="240" w:lineRule="auto"/>
        <w:ind w:left="810" w:hanging="450"/>
        <w:rPr>
          <w:u w:val="single"/>
        </w:rPr>
      </w:pPr>
      <w:r w:rsidRPr="00715D86">
        <w:t>As part of the inspection process, pictures of damaged equipment must be taken and uploaded to the web-based tool.  These pictures will assist in documentation of work completed, and will also be utilized as a training aid to assist</w:t>
      </w:r>
      <w:r w:rsidRPr="00715D86">
        <w:t xml:space="preserve"> SPS staff to point out appropriate errors and assist in the inspection process.</w:t>
      </w:r>
    </w:p>
    <w:p w14:paraId="7EFB1B22" w14:textId="77777777" w:rsidR="00346BAC" w:rsidRPr="00346BAC" w:rsidRDefault="005006E1" w:rsidP="00346BAC">
      <w:pPr>
        <w:pStyle w:val="ListParagraph"/>
        <w:spacing w:after="0" w:line="240" w:lineRule="auto"/>
        <w:ind w:left="810"/>
        <w:rPr>
          <w:u w:val="single"/>
        </w:rPr>
      </w:pPr>
    </w:p>
    <w:p w14:paraId="7EFB1B23" w14:textId="77777777" w:rsidR="00346BAC" w:rsidRPr="00715D86" w:rsidRDefault="005006E1" w:rsidP="00346BAC">
      <w:pPr>
        <w:ind w:left="360"/>
        <w:rPr>
          <w:b/>
          <w:u w:val="single"/>
        </w:rPr>
      </w:pPr>
      <w:r w:rsidRPr="00715D86">
        <w:rPr>
          <w:b/>
          <w:u w:val="single"/>
        </w:rPr>
        <w:t>Education and Training</w:t>
      </w:r>
    </w:p>
    <w:p w14:paraId="7EFB1B24" w14:textId="77777777" w:rsidR="00346BAC" w:rsidRPr="00715D86" w:rsidRDefault="005006E1" w:rsidP="00346BAC">
      <w:pPr>
        <w:pStyle w:val="ListParagraph"/>
        <w:numPr>
          <w:ilvl w:val="0"/>
          <w:numId w:val="4"/>
        </w:numPr>
        <w:spacing w:after="0" w:line="240" w:lineRule="auto"/>
      </w:pPr>
      <w:r w:rsidRPr="00715D86">
        <w:t>Provide at no additional cost to the government, Departmental evaluations that identify each touch point a device encounters in its usage cycle, as wel</w:t>
      </w:r>
      <w:r w:rsidRPr="00715D86">
        <w:t>l as areas for process and care-and handling improvements</w:t>
      </w:r>
    </w:p>
    <w:p w14:paraId="7EFB1B25" w14:textId="77777777" w:rsidR="00346BAC" w:rsidRPr="00715D86" w:rsidRDefault="005006E1" w:rsidP="00346BAC">
      <w:pPr>
        <w:pStyle w:val="ListParagraph"/>
        <w:numPr>
          <w:ilvl w:val="0"/>
          <w:numId w:val="4"/>
        </w:numPr>
        <w:spacing w:after="0" w:line="240" w:lineRule="auto"/>
      </w:pPr>
      <w:r w:rsidRPr="00715D86">
        <w:t>Provide at no additional cost to the government, Targeted staff education based on repair trends and departmental issues</w:t>
      </w:r>
    </w:p>
    <w:p w14:paraId="7EFB1B26" w14:textId="77777777" w:rsidR="00346BAC" w:rsidRPr="00715D86" w:rsidRDefault="005006E1" w:rsidP="00346BAC">
      <w:pPr>
        <w:pStyle w:val="ListParagraph"/>
        <w:numPr>
          <w:ilvl w:val="0"/>
          <w:numId w:val="4"/>
        </w:numPr>
        <w:spacing w:after="0" w:line="240" w:lineRule="auto"/>
      </w:pPr>
      <w:r w:rsidRPr="00715D86">
        <w:t>Provide at no additional cost to the government, Competency validations, with</w:t>
      </w:r>
      <w:r w:rsidRPr="00715D86">
        <w:t xml:space="preserve"> proof of competency provided for individual training records</w:t>
      </w:r>
    </w:p>
    <w:p w14:paraId="7EFB1B27" w14:textId="77777777" w:rsidR="00346BAC" w:rsidRPr="00715D86" w:rsidRDefault="005006E1" w:rsidP="00346BAC">
      <w:pPr>
        <w:pStyle w:val="ListParagraph"/>
        <w:numPr>
          <w:ilvl w:val="0"/>
          <w:numId w:val="4"/>
        </w:numPr>
        <w:spacing w:after="0" w:line="240" w:lineRule="auto"/>
      </w:pPr>
      <w:r w:rsidRPr="00715D86">
        <w:t>Provide at no additional cost to the government, In-service education to SPS staff on issues such as cleaning, care and handling.  All Continuing education credit program must be approved throug</w:t>
      </w:r>
      <w:r w:rsidRPr="00715D86">
        <w:t>h the International Association of Healthcare Central Service Material Management (IAHCSMM), Certification Board for Sterile Processing and Distribution (CBSPD), Association of Surgical Technologists (AST) and Ohio Nurses Association (ONA)</w:t>
      </w:r>
    </w:p>
    <w:p w14:paraId="7EFB1B28" w14:textId="77777777" w:rsidR="00346BAC" w:rsidRPr="00715D86" w:rsidRDefault="005006E1" w:rsidP="00346BAC">
      <w:pPr>
        <w:pStyle w:val="ListParagraph"/>
        <w:numPr>
          <w:ilvl w:val="0"/>
          <w:numId w:val="4"/>
        </w:numPr>
        <w:spacing w:after="0" w:line="240" w:lineRule="auto"/>
      </w:pPr>
      <w:r w:rsidRPr="00715D86">
        <w:t>Provide at no ad</w:t>
      </w:r>
      <w:r w:rsidRPr="00715D86">
        <w:t>ditional cost to the government, a yearly SPS Management Seminar that includes but not limited to:</w:t>
      </w:r>
    </w:p>
    <w:p w14:paraId="7EFB1B29" w14:textId="77777777" w:rsidR="00346BAC" w:rsidRPr="00715D86" w:rsidRDefault="005006E1" w:rsidP="00346BAC">
      <w:pPr>
        <w:pStyle w:val="ListParagraph"/>
        <w:numPr>
          <w:ilvl w:val="1"/>
          <w:numId w:val="4"/>
        </w:numPr>
        <w:spacing w:after="0" w:line="240" w:lineRule="auto"/>
      </w:pPr>
      <w:r w:rsidRPr="00715D86">
        <w:t>Site visit to engineering and repair facility</w:t>
      </w:r>
      <w:r w:rsidRPr="00715D86">
        <w:rPr>
          <w:b/>
        </w:rPr>
        <w:t xml:space="preserve"> {{Discuss the inclusion of this}}</w:t>
      </w:r>
    </w:p>
    <w:p w14:paraId="7EFB1B2A" w14:textId="77777777" w:rsidR="00346BAC" w:rsidRPr="00715D86" w:rsidRDefault="005006E1" w:rsidP="00346BAC">
      <w:pPr>
        <w:pStyle w:val="ListParagraph"/>
        <w:numPr>
          <w:ilvl w:val="1"/>
          <w:numId w:val="4"/>
        </w:numPr>
        <w:spacing w:after="0" w:line="240" w:lineRule="auto"/>
      </w:pPr>
      <w:r w:rsidRPr="00715D86">
        <w:t>Discussion of repair issues and proper care and handling of rigid endoscopes,</w:t>
      </w:r>
      <w:r w:rsidRPr="00715D86">
        <w:t xml:space="preserve"> flexible endoscopes, power equipment, and phaco handpieces</w:t>
      </w:r>
    </w:p>
    <w:p w14:paraId="7EFB1B2D" w14:textId="7BD71EA7" w:rsidR="005362FD" w:rsidRPr="00193052" w:rsidRDefault="005006E1" w:rsidP="005362FD">
      <w:pPr>
        <w:pStyle w:val="NormalWeb"/>
        <w:numPr>
          <w:ilvl w:val="1"/>
          <w:numId w:val="4"/>
        </w:numPr>
        <w:tabs>
          <w:tab w:val="left" w:pos="300"/>
        </w:tabs>
      </w:pPr>
      <w:r w:rsidRPr="00715D86">
        <w:rPr>
          <w:rFonts w:asciiTheme="minorHAnsi" w:hAnsiTheme="minorHAnsi"/>
        </w:rPr>
        <w:t>Discussion of programs to enhance management and administrative effectiveness.</w:t>
      </w:r>
      <w:bookmarkStart w:id="0" w:name="_GoBack"/>
      <w:bookmarkEnd w:id="0"/>
    </w:p>
    <w:p w14:paraId="7EFB1B2E" w14:textId="77777777" w:rsidR="00D95594" w:rsidRPr="00D95594" w:rsidRDefault="005006E1" w:rsidP="00D95594">
      <w:pPr>
        <w:spacing w:after="0" w:line="240" w:lineRule="auto"/>
        <w:rPr>
          <w:rFonts w:cs="Arial"/>
          <w:b/>
          <w:sz w:val="24"/>
          <w:szCs w:val="24"/>
          <w:u w:val="single"/>
        </w:rPr>
      </w:pPr>
      <w:r w:rsidRPr="00D95594">
        <w:rPr>
          <w:rFonts w:cs="Arial"/>
          <w:b/>
          <w:sz w:val="24"/>
          <w:szCs w:val="24"/>
          <w:u w:val="single"/>
        </w:rPr>
        <w:t>Capability Statement</w:t>
      </w:r>
    </w:p>
    <w:p w14:paraId="7EFB1B2F" w14:textId="77777777" w:rsidR="009F4AE0" w:rsidRDefault="005006E1" w:rsidP="009F4AE0">
      <w:pPr>
        <w:spacing w:after="300" w:line="336" w:lineRule="atLeast"/>
        <w:rPr>
          <w:rFonts w:eastAsia="Times New Roman" w:cs="Arial"/>
          <w:sz w:val="24"/>
          <w:szCs w:val="24"/>
        </w:rPr>
      </w:pPr>
      <w:r>
        <w:rPr>
          <w:rFonts w:eastAsia="Times New Roman" w:cs="Arial"/>
          <w:sz w:val="24"/>
          <w:szCs w:val="24"/>
        </w:rPr>
        <w:t xml:space="preserve">The Government requests that interested parties provide the following capability information </w:t>
      </w:r>
      <w:r>
        <w:rPr>
          <w:rFonts w:eastAsiaTheme="minorHAnsi" w:cs="Arial"/>
          <w:sz w:val="24"/>
          <w:szCs w:val="24"/>
        </w:rPr>
        <w:t>to the Contract</w:t>
      </w:r>
      <w:r>
        <w:rPr>
          <w:rFonts w:eastAsiaTheme="minorHAnsi" w:cs="Arial"/>
          <w:sz w:val="24"/>
          <w:szCs w:val="24"/>
        </w:rPr>
        <w:t xml:space="preserve"> </w:t>
      </w:r>
      <w:r>
        <w:rPr>
          <w:rFonts w:eastAsiaTheme="minorHAnsi" w:cs="Arial"/>
          <w:sz w:val="24"/>
          <w:szCs w:val="24"/>
        </w:rPr>
        <w:t>Specialist</w:t>
      </w:r>
      <w:r>
        <w:rPr>
          <w:rFonts w:eastAsiaTheme="minorHAnsi" w:cs="Arial"/>
          <w:sz w:val="24"/>
          <w:szCs w:val="24"/>
        </w:rPr>
        <w:t xml:space="preserve">, </w:t>
      </w:r>
      <w:r>
        <w:rPr>
          <w:rFonts w:eastAsiaTheme="minorHAnsi" w:cs="Arial"/>
          <w:sz w:val="24"/>
          <w:szCs w:val="24"/>
        </w:rPr>
        <w:t>Parvinder Brar</w:t>
      </w:r>
      <w:r>
        <w:rPr>
          <w:rFonts w:eastAsiaTheme="minorHAnsi" w:cs="Arial"/>
          <w:sz w:val="24"/>
          <w:szCs w:val="24"/>
        </w:rPr>
        <w:t xml:space="preserve"> by e</w:t>
      </w:r>
      <w:r>
        <w:rPr>
          <w:rFonts w:eastAsiaTheme="minorHAnsi" w:cs="Arial"/>
          <w:sz w:val="24"/>
          <w:szCs w:val="24"/>
        </w:rPr>
        <w:t>mail at:</w:t>
      </w:r>
      <w:r>
        <w:rPr>
          <w:rFonts w:eastAsiaTheme="minorHAnsi" w:cs="Arial"/>
          <w:sz w:val="24"/>
          <w:szCs w:val="24"/>
        </w:rPr>
        <w:t xml:space="preserve"> </w:t>
      </w:r>
      <w:hyperlink r:id="rId9" w:history="1">
        <w:r w:rsidRPr="00565EFB">
          <w:rPr>
            <w:rStyle w:val="Hyperlink"/>
            <w:rFonts w:eastAsiaTheme="minorHAnsi" w:cs="Arial"/>
            <w:sz w:val="24"/>
            <w:szCs w:val="24"/>
          </w:rPr>
          <w:t>Parvinder.brar@va.gov</w:t>
        </w:r>
      </w:hyperlink>
      <w:r>
        <w:rPr>
          <w:rFonts w:eastAsiaTheme="minorHAnsi" w:cs="Arial"/>
          <w:sz w:val="24"/>
          <w:szCs w:val="24"/>
        </w:rPr>
        <w:t xml:space="preserve"> b</w:t>
      </w:r>
      <w:r>
        <w:rPr>
          <w:rFonts w:eastAsiaTheme="minorHAnsi" w:cs="Arial"/>
          <w:sz w:val="24"/>
          <w:szCs w:val="24"/>
        </w:rPr>
        <w:t xml:space="preserve">y close of business </w:t>
      </w:r>
      <w:r>
        <w:rPr>
          <w:rFonts w:eastAsiaTheme="minorHAnsi" w:cs="Arial"/>
          <w:b/>
          <w:sz w:val="24"/>
          <w:szCs w:val="24"/>
        </w:rPr>
        <w:t>October</w:t>
      </w:r>
      <w:r w:rsidRPr="001C4CCA">
        <w:rPr>
          <w:rFonts w:eastAsiaTheme="minorHAnsi" w:cs="Arial"/>
          <w:b/>
          <w:sz w:val="24"/>
          <w:szCs w:val="24"/>
        </w:rPr>
        <w:t xml:space="preserve"> </w:t>
      </w:r>
      <w:r>
        <w:rPr>
          <w:rFonts w:eastAsiaTheme="minorHAnsi" w:cs="Arial"/>
          <w:b/>
          <w:sz w:val="24"/>
          <w:szCs w:val="24"/>
        </w:rPr>
        <w:t>11, 2017</w:t>
      </w:r>
      <w:r>
        <w:rPr>
          <w:rFonts w:eastAsia="Times New Roman" w:cs="Arial"/>
          <w:sz w:val="24"/>
          <w:szCs w:val="24"/>
        </w:rPr>
        <w:t>:</w:t>
      </w:r>
    </w:p>
    <w:p w14:paraId="7EFB1B30" w14:textId="77777777" w:rsidR="009F4AE0" w:rsidRDefault="005006E1" w:rsidP="009F4AE0">
      <w:pPr>
        <w:spacing w:after="300" w:line="336" w:lineRule="atLeast"/>
        <w:rPr>
          <w:rFonts w:eastAsia="Times New Roman" w:cs="Arial"/>
          <w:sz w:val="24"/>
          <w:szCs w:val="24"/>
        </w:rPr>
      </w:pPr>
      <w:r>
        <w:rPr>
          <w:rFonts w:eastAsia="Times New Roman" w:cs="Arial"/>
          <w:sz w:val="24"/>
          <w:szCs w:val="24"/>
        </w:rPr>
        <w:t>(a) Business Size (Large/Small)</w:t>
      </w:r>
    </w:p>
    <w:p w14:paraId="7EFB1B31" w14:textId="77777777" w:rsidR="009F4AE0" w:rsidRDefault="005006E1" w:rsidP="009F4AE0">
      <w:pPr>
        <w:spacing w:after="300" w:line="336" w:lineRule="atLeast"/>
        <w:rPr>
          <w:rFonts w:eastAsia="Times New Roman" w:cs="Arial"/>
          <w:sz w:val="24"/>
          <w:szCs w:val="24"/>
        </w:rPr>
      </w:pPr>
      <w:r>
        <w:rPr>
          <w:rFonts w:eastAsia="Times New Roman" w:cs="Arial"/>
          <w:sz w:val="24"/>
          <w:szCs w:val="24"/>
        </w:rPr>
        <w:t xml:space="preserve">(b) Business Socio-Economic Status (SDVOSB, WOSB, 8(a), </w:t>
      </w:r>
      <w:r>
        <w:rPr>
          <w:rFonts w:eastAsia="Times New Roman" w:cs="Arial"/>
          <w:sz w:val="24"/>
          <w:szCs w:val="24"/>
        </w:rPr>
        <w:t>HUBZone, etc.)</w:t>
      </w:r>
    </w:p>
    <w:p w14:paraId="7EFB1B32" w14:textId="77777777" w:rsidR="00723C2C" w:rsidRDefault="005006E1" w:rsidP="00723C2C">
      <w:pPr>
        <w:spacing w:after="300" w:line="336" w:lineRule="atLeast"/>
        <w:rPr>
          <w:rFonts w:eastAsiaTheme="minorHAnsi" w:cs="Arial"/>
          <w:sz w:val="24"/>
          <w:szCs w:val="24"/>
        </w:rPr>
      </w:pPr>
      <w:r>
        <w:rPr>
          <w:rFonts w:eastAsia="Times New Roman" w:cs="Arial"/>
          <w:sz w:val="24"/>
          <w:szCs w:val="24"/>
        </w:rPr>
        <w:t xml:space="preserve">(c) </w:t>
      </w:r>
      <w:r>
        <w:rPr>
          <w:rFonts w:eastAsiaTheme="minorHAnsi" w:cs="Arial"/>
          <w:sz w:val="24"/>
          <w:szCs w:val="24"/>
        </w:rPr>
        <w:t>SAM record</w:t>
      </w:r>
      <w:r>
        <w:rPr>
          <w:rFonts w:eastAsiaTheme="minorHAnsi" w:cs="Arial"/>
          <w:sz w:val="24"/>
          <w:szCs w:val="24"/>
        </w:rPr>
        <w:t xml:space="preserve"> (</w:t>
      </w:r>
      <w:hyperlink r:id="rId10" w:history="1">
        <w:r w:rsidRPr="009A3A51">
          <w:rPr>
            <w:rStyle w:val="Hyperlink"/>
            <w:rFonts w:eastAsiaTheme="minorHAnsi" w:cs="Arial"/>
            <w:sz w:val="24"/>
            <w:szCs w:val="24"/>
          </w:rPr>
          <w:t>www.sam.gov</w:t>
        </w:r>
      </w:hyperlink>
      <w:r>
        <w:rPr>
          <w:rFonts w:eastAsiaTheme="minorHAnsi" w:cs="Arial"/>
          <w:sz w:val="24"/>
          <w:szCs w:val="24"/>
        </w:rPr>
        <w:t>)</w:t>
      </w:r>
    </w:p>
    <w:p w14:paraId="7EFB1B33" w14:textId="77777777" w:rsidR="00BA028B" w:rsidRDefault="005006E1" w:rsidP="00723C2C">
      <w:pPr>
        <w:spacing w:after="300" w:line="336" w:lineRule="atLeast"/>
        <w:rPr>
          <w:rFonts w:eastAsiaTheme="minorHAnsi" w:cs="Arial"/>
          <w:sz w:val="24"/>
          <w:szCs w:val="24"/>
        </w:rPr>
      </w:pPr>
      <w:r>
        <w:rPr>
          <w:rFonts w:eastAsiaTheme="minorHAnsi" w:cs="Arial"/>
          <w:sz w:val="24"/>
          <w:szCs w:val="24"/>
        </w:rPr>
        <w:lastRenderedPageBreak/>
        <w:t>(d) VIP record (SDVOSB/VOSB firms only) (</w:t>
      </w:r>
      <w:hyperlink r:id="rId11" w:history="1">
        <w:r w:rsidRPr="00B368A4">
          <w:rPr>
            <w:rStyle w:val="Hyperlink"/>
            <w:rFonts w:eastAsiaTheme="minorHAnsi" w:cs="Arial"/>
            <w:sz w:val="24"/>
            <w:szCs w:val="24"/>
          </w:rPr>
          <w:t>https://www.vip.vetbiz.gov/</w:t>
        </w:r>
      </w:hyperlink>
      <w:r>
        <w:rPr>
          <w:rFonts w:eastAsiaTheme="minorHAnsi" w:cs="Arial"/>
          <w:sz w:val="24"/>
          <w:szCs w:val="24"/>
        </w:rPr>
        <w:t xml:space="preserve">) </w:t>
      </w:r>
    </w:p>
    <w:p w14:paraId="7EFB1B34" w14:textId="77777777" w:rsidR="009F4AE0" w:rsidRDefault="005006E1" w:rsidP="009F4AE0">
      <w:pPr>
        <w:spacing w:after="300" w:line="336" w:lineRule="atLeast"/>
        <w:rPr>
          <w:rFonts w:eastAsiaTheme="minorHAnsi" w:cs="Arial"/>
          <w:sz w:val="24"/>
          <w:szCs w:val="24"/>
        </w:rPr>
      </w:pPr>
      <w:r>
        <w:rPr>
          <w:rFonts w:eastAsia="Times New Roman" w:cs="Arial"/>
          <w:sz w:val="24"/>
          <w:szCs w:val="24"/>
        </w:rPr>
        <w:t>(e</w:t>
      </w:r>
      <w:r>
        <w:rPr>
          <w:rFonts w:eastAsia="Times New Roman" w:cs="Arial"/>
          <w:sz w:val="24"/>
          <w:szCs w:val="24"/>
        </w:rPr>
        <w:t>) </w:t>
      </w:r>
      <w:r>
        <w:rPr>
          <w:rFonts w:eastAsiaTheme="minorHAnsi" w:cs="Arial"/>
          <w:sz w:val="24"/>
          <w:szCs w:val="24"/>
        </w:rPr>
        <w:t>DUNS number</w:t>
      </w:r>
    </w:p>
    <w:p w14:paraId="7EFB1B35" w14:textId="77777777" w:rsidR="008A465C" w:rsidRDefault="005006E1" w:rsidP="008A465C">
      <w:pPr>
        <w:spacing w:after="300" w:line="336" w:lineRule="atLeast"/>
        <w:rPr>
          <w:rFonts w:eastAsia="Times New Roman" w:cs="Arial"/>
          <w:sz w:val="24"/>
          <w:szCs w:val="24"/>
        </w:rPr>
      </w:pPr>
      <w:r>
        <w:rPr>
          <w:rFonts w:eastAsiaTheme="minorHAnsi" w:cs="Arial"/>
          <w:sz w:val="24"/>
          <w:szCs w:val="24"/>
        </w:rPr>
        <w:t xml:space="preserve">(f) </w:t>
      </w:r>
      <w:r>
        <w:rPr>
          <w:rFonts w:eastAsia="Times New Roman" w:cs="Arial"/>
          <w:sz w:val="24"/>
          <w:szCs w:val="24"/>
        </w:rPr>
        <w:t xml:space="preserve">Ability and experience in managing </w:t>
      </w:r>
      <w:r>
        <w:rPr>
          <w:rFonts w:eastAsia="Times New Roman" w:cs="Arial"/>
          <w:sz w:val="24"/>
          <w:szCs w:val="24"/>
        </w:rPr>
        <w:t>similar</w:t>
      </w:r>
      <w:r>
        <w:rPr>
          <w:rFonts w:eastAsia="Times New Roman" w:cs="Arial"/>
          <w:sz w:val="24"/>
          <w:szCs w:val="24"/>
        </w:rPr>
        <w:t xml:space="preserve"> projects</w:t>
      </w:r>
      <w:r>
        <w:rPr>
          <w:rFonts w:eastAsiaTheme="minorHAnsi" w:cs="Arial"/>
          <w:sz w:val="24"/>
          <w:szCs w:val="24"/>
        </w:rPr>
        <w:t xml:space="preserve">. </w:t>
      </w:r>
      <w:r>
        <w:rPr>
          <w:rFonts w:eastAsia="Times New Roman" w:cs="Arial"/>
          <w:sz w:val="24"/>
          <w:szCs w:val="24"/>
        </w:rPr>
        <w:t xml:space="preserve">Include general information and technical background describing your firm's experience on contracts requiring similar efforts to meet the program objectives. </w:t>
      </w:r>
    </w:p>
    <w:p w14:paraId="7EFB1B36" w14:textId="77777777" w:rsidR="008A465C" w:rsidRDefault="005006E1" w:rsidP="009F4AE0">
      <w:pPr>
        <w:spacing w:after="300" w:line="336" w:lineRule="atLeast"/>
        <w:rPr>
          <w:rFonts w:eastAsia="Times New Roman" w:cs="Arial"/>
          <w:sz w:val="24"/>
          <w:szCs w:val="24"/>
        </w:rPr>
      </w:pPr>
      <w:r>
        <w:rPr>
          <w:rFonts w:eastAsia="Times New Roman" w:cs="Arial"/>
          <w:sz w:val="24"/>
          <w:szCs w:val="24"/>
        </w:rPr>
        <w:t>(g) List of Projects (Government and</w:t>
      </w:r>
      <w:r>
        <w:rPr>
          <w:rFonts w:eastAsia="Times New Roman" w:cs="Arial"/>
          <w:sz w:val="24"/>
          <w:szCs w:val="24"/>
        </w:rPr>
        <w:t xml:space="preserve"> Commercial) that are similar in</w:t>
      </w:r>
      <w:r>
        <w:rPr>
          <w:rFonts w:eastAsia="Times New Roman" w:cs="Arial"/>
          <w:sz w:val="24"/>
          <w:szCs w:val="24"/>
        </w:rPr>
        <w:t xml:space="preserve"> scope and size.</w:t>
      </w:r>
    </w:p>
    <w:p w14:paraId="7EFB1B37" w14:textId="77777777" w:rsidR="00CE65BC" w:rsidRDefault="005006E1" w:rsidP="009F4AE0">
      <w:pPr>
        <w:spacing w:after="300" w:line="336" w:lineRule="atLeast"/>
        <w:rPr>
          <w:rFonts w:eastAsia="Times New Roman" w:cs="Arial"/>
          <w:sz w:val="24"/>
          <w:szCs w:val="24"/>
        </w:rPr>
      </w:pPr>
      <w:r>
        <w:rPr>
          <w:rFonts w:eastAsia="Times New Roman" w:cs="Arial"/>
          <w:sz w:val="24"/>
          <w:szCs w:val="24"/>
        </w:rPr>
        <w:t>(</w:t>
      </w:r>
      <w:r>
        <w:rPr>
          <w:rFonts w:eastAsia="Times New Roman" w:cs="Arial"/>
          <w:sz w:val="24"/>
          <w:szCs w:val="24"/>
        </w:rPr>
        <w:t>h) Anticipated Teaming Arrangements (if any)</w:t>
      </w:r>
    </w:p>
    <w:p w14:paraId="7EFB1B38" w14:textId="77777777" w:rsidR="00BA028B" w:rsidRDefault="005006E1" w:rsidP="009F4AE0">
      <w:pPr>
        <w:spacing w:after="300" w:line="336" w:lineRule="atLeast"/>
        <w:rPr>
          <w:rFonts w:eastAsia="Times New Roman" w:cs="Arial"/>
          <w:sz w:val="24"/>
          <w:szCs w:val="24"/>
        </w:rPr>
      </w:pPr>
      <w:r>
        <w:rPr>
          <w:rFonts w:eastAsia="Times New Roman" w:cs="Arial"/>
          <w:sz w:val="24"/>
          <w:szCs w:val="24"/>
        </w:rPr>
        <w:t>(i</w:t>
      </w:r>
      <w:r>
        <w:rPr>
          <w:rFonts w:eastAsia="Times New Roman" w:cs="Arial"/>
          <w:sz w:val="24"/>
          <w:szCs w:val="24"/>
        </w:rPr>
        <w:t>) GSA Contract Number if applicable</w:t>
      </w:r>
      <w:r>
        <w:rPr>
          <w:rFonts w:eastAsia="Times New Roman" w:cs="Arial"/>
          <w:sz w:val="24"/>
          <w:szCs w:val="24"/>
        </w:rPr>
        <w:t>.</w:t>
      </w:r>
    </w:p>
    <w:p w14:paraId="7EFB1B39" w14:textId="77777777" w:rsidR="002B6A7F" w:rsidRPr="00BA028B" w:rsidRDefault="005006E1" w:rsidP="009F4AE0">
      <w:pPr>
        <w:spacing w:after="300" w:line="336" w:lineRule="atLeast"/>
        <w:rPr>
          <w:rFonts w:eastAsia="Times New Roman" w:cs="Arial"/>
          <w:sz w:val="24"/>
          <w:szCs w:val="24"/>
        </w:rPr>
      </w:pPr>
      <w:r>
        <w:rPr>
          <w:rFonts w:eastAsia="Times New Roman" w:cs="Arial"/>
          <w:sz w:val="24"/>
          <w:szCs w:val="24"/>
        </w:rPr>
        <w:t>Interested parties shall not submit more than 10 single-sided, type-written pages using 12-point font or larger. Published literature may be any number of pages.</w:t>
      </w:r>
    </w:p>
    <w:p w14:paraId="7EFB1B3A" w14:textId="77777777" w:rsidR="009F4AE0" w:rsidRDefault="005006E1" w:rsidP="009F4AE0">
      <w:pPr>
        <w:spacing w:after="300" w:line="336" w:lineRule="atLeast"/>
        <w:rPr>
          <w:rFonts w:eastAsiaTheme="minorHAnsi" w:cs="Arial"/>
          <w:sz w:val="24"/>
          <w:szCs w:val="24"/>
        </w:rPr>
      </w:pPr>
      <w:r>
        <w:rPr>
          <w:rFonts w:eastAsia="Times New Roman" w:cs="Arial"/>
          <w:sz w:val="24"/>
          <w:szCs w:val="24"/>
        </w:rPr>
        <w:t>The Govern</w:t>
      </w:r>
      <w:r>
        <w:rPr>
          <w:rFonts w:eastAsia="Times New Roman" w:cs="Arial"/>
          <w:sz w:val="24"/>
          <w:szCs w:val="24"/>
        </w:rPr>
        <w:t xml:space="preserve">ment will use this information when determining its business type decision.  </w:t>
      </w:r>
    </w:p>
    <w:p w14:paraId="7EFB1B3B" w14:textId="77777777" w:rsidR="009F4AE0" w:rsidRDefault="005006E1" w:rsidP="00110088">
      <w:pPr>
        <w:spacing w:after="300" w:line="336" w:lineRule="atLeast"/>
        <w:rPr>
          <w:rFonts w:eastAsiaTheme="minorHAnsi" w:cs="Arial"/>
          <w:sz w:val="24"/>
          <w:szCs w:val="24"/>
        </w:rPr>
      </w:pPr>
      <w:r>
        <w:rPr>
          <w:rFonts w:eastAsiaTheme="minorHAnsi" w:cs="Arial"/>
          <w:sz w:val="24"/>
          <w:szCs w:val="24"/>
        </w:rPr>
        <w:t xml:space="preserve">This synopsis is not to be construed as a commitment by the Government and no contract will be awarded as a direct result of this Sources Sought announcement.      </w:t>
      </w:r>
    </w:p>
    <w:p w14:paraId="7EFB1B3C" w14:textId="77777777" w:rsidR="000568F7" w:rsidRPr="00D87AEA" w:rsidRDefault="005006E1" w:rsidP="00110088">
      <w:pPr>
        <w:spacing w:after="300" w:line="336" w:lineRule="atLeast"/>
        <w:rPr>
          <w:b/>
        </w:rPr>
      </w:pPr>
      <w:r w:rsidRPr="00D87AEA">
        <w:rPr>
          <w:rFonts w:eastAsiaTheme="minorHAnsi" w:cs="Arial"/>
          <w:b/>
          <w:sz w:val="24"/>
          <w:szCs w:val="24"/>
        </w:rPr>
        <w:t>*Failure to p</w:t>
      </w:r>
      <w:r w:rsidRPr="00D87AEA">
        <w:rPr>
          <w:rFonts w:eastAsiaTheme="minorHAnsi" w:cs="Arial"/>
          <w:b/>
          <w:sz w:val="24"/>
          <w:szCs w:val="24"/>
        </w:rPr>
        <w:t>rovide the information</w:t>
      </w:r>
      <w:r>
        <w:rPr>
          <w:rFonts w:eastAsiaTheme="minorHAnsi" w:cs="Arial"/>
          <w:b/>
          <w:sz w:val="24"/>
          <w:szCs w:val="24"/>
        </w:rPr>
        <w:t xml:space="preserve"> requested above (items (a) – (i</w:t>
      </w:r>
      <w:r w:rsidRPr="00D87AEA">
        <w:rPr>
          <w:rFonts w:eastAsiaTheme="minorHAnsi" w:cs="Arial"/>
          <w:b/>
          <w:sz w:val="24"/>
          <w:szCs w:val="24"/>
        </w:rPr>
        <w:t>)) will be considered non-responsive</w:t>
      </w:r>
      <w:r>
        <w:rPr>
          <w:rFonts w:eastAsiaTheme="minorHAnsi" w:cs="Arial"/>
          <w:b/>
          <w:sz w:val="24"/>
          <w:szCs w:val="24"/>
        </w:rPr>
        <w:t xml:space="preserve"> and will not be considered a viable source</w:t>
      </w:r>
      <w:r w:rsidRPr="00D87AEA">
        <w:rPr>
          <w:rFonts w:eastAsiaTheme="minorHAnsi" w:cs="Arial"/>
          <w:b/>
          <w:sz w:val="24"/>
          <w:szCs w:val="24"/>
        </w:rPr>
        <w:t xml:space="preserve">. </w:t>
      </w:r>
    </w:p>
    <w:p w14:paraId="7EFB1B3D" w14:textId="77777777" w:rsidR="001959F3" w:rsidRDefault="005006E1"/>
    <w:sectPr w:rsidR="001959F3">
      <w:footerReference w:type="default" r:id="rId12"/>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1B45" w14:textId="77777777" w:rsidR="00000000" w:rsidRDefault="005006E1">
      <w:pPr>
        <w:spacing w:after="0" w:line="240" w:lineRule="auto"/>
      </w:pPr>
      <w:r>
        <w:separator/>
      </w:r>
    </w:p>
  </w:endnote>
  <w:endnote w:type="continuationSeparator" w:id="0">
    <w:p w14:paraId="7EFB1B47" w14:textId="77777777" w:rsidR="00000000" w:rsidRDefault="0050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1B40" w14:textId="3A9ED79F" w:rsidR="0053131F" w:rsidRDefault="005006E1">
    <w:pPr>
      <w:pStyle w:val="Header"/>
      <w:jc w:val="right"/>
    </w:pPr>
    <w:r>
      <w:t xml:space="preserve">Page </w:t>
    </w:r>
    <w:r>
      <w:fldChar w:fldCharType="begin"/>
    </w:r>
    <w:r>
      <w:instrText xml:space="preserve"> PAGE   \* MERGEFORMAT </w:instrText>
    </w:r>
    <w:r>
      <w:fldChar w:fldCharType="separate"/>
    </w:r>
    <w:r>
      <w:rPr>
        <w:noProof/>
      </w:rPr>
      <w:t>6</w:t>
    </w:r>
    <w:r>
      <w:fldChar w:fldCharType="end"/>
    </w:r>
    <w:r>
      <w:t xml:space="preserve"> of </w:t>
    </w:r>
    <w:r>
      <w:fldChar w:fldCharType="begin"/>
    </w:r>
    <w:r>
      <w:instrText xml:space="preserve"> NUMPAGES   \* MERGEFORMAT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B1B41" w14:textId="77777777" w:rsidR="00000000" w:rsidRDefault="005006E1">
      <w:pPr>
        <w:spacing w:after="0" w:line="240" w:lineRule="auto"/>
      </w:pPr>
      <w:r>
        <w:separator/>
      </w:r>
    </w:p>
  </w:footnote>
  <w:footnote w:type="continuationSeparator" w:id="0">
    <w:p w14:paraId="7EFB1B43" w14:textId="77777777" w:rsidR="00000000" w:rsidRDefault="00500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1A66"/>
    <w:multiLevelType w:val="hybridMultilevel"/>
    <w:tmpl w:val="CC8EFAEA"/>
    <w:lvl w:ilvl="0" w:tplc="9C3AFCC0">
      <w:start w:val="1"/>
      <w:numFmt w:val="decimal"/>
      <w:lvlText w:val="%1)"/>
      <w:lvlJc w:val="left"/>
      <w:pPr>
        <w:ind w:left="720" w:hanging="360"/>
      </w:pPr>
    </w:lvl>
    <w:lvl w:ilvl="1" w:tplc="F468051A">
      <w:start w:val="1"/>
      <w:numFmt w:val="lowerLetter"/>
      <w:lvlText w:val="%2."/>
      <w:lvlJc w:val="left"/>
      <w:pPr>
        <w:ind w:left="1440" w:hanging="360"/>
      </w:pPr>
    </w:lvl>
    <w:lvl w:ilvl="2" w:tplc="16DA113C" w:tentative="1">
      <w:start w:val="1"/>
      <w:numFmt w:val="lowerRoman"/>
      <w:lvlText w:val="%3."/>
      <w:lvlJc w:val="right"/>
      <w:pPr>
        <w:ind w:left="2160" w:hanging="180"/>
      </w:pPr>
    </w:lvl>
    <w:lvl w:ilvl="3" w:tplc="72246EDE">
      <w:start w:val="1"/>
      <w:numFmt w:val="decimal"/>
      <w:lvlText w:val="%4."/>
      <w:lvlJc w:val="left"/>
      <w:pPr>
        <w:ind w:left="2880" w:hanging="360"/>
      </w:pPr>
    </w:lvl>
    <w:lvl w:ilvl="4" w:tplc="BBE0EEF6" w:tentative="1">
      <w:start w:val="1"/>
      <w:numFmt w:val="lowerLetter"/>
      <w:lvlText w:val="%5."/>
      <w:lvlJc w:val="left"/>
      <w:pPr>
        <w:ind w:left="3600" w:hanging="360"/>
      </w:pPr>
    </w:lvl>
    <w:lvl w:ilvl="5" w:tplc="F67EC96C" w:tentative="1">
      <w:start w:val="1"/>
      <w:numFmt w:val="lowerRoman"/>
      <w:lvlText w:val="%6."/>
      <w:lvlJc w:val="right"/>
      <w:pPr>
        <w:ind w:left="4320" w:hanging="180"/>
      </w:pPr>
    </w:lvl>
    <w:lvl w:ilvl="6" w:tplc="DB063428" w:tentative="1">
      <w:start w:val="1"/>
      <w:numFmt w:val="decimal"/>
      <w:lvlText w:val="%7."/>
      <w:lvlJc w:val="left"/>
      <w:pPr>
        <w:ind w:left="5040" w:hanging="360"/>
      </w:pPr>
    </w:lvl>
    <w:lvl w:ilvl="7" w:tplc="54440E04" w:tentative="1">
      <w:start w:val="1"/>
      <w:numFmt w:val="lowerLetter"/>
      <w:lvlText w:val="%8."/>
      <w:lvlJc w:val="left"/>
      <w:pPr>
        <w:ind w:left="5760" w:hanging="360"/>
      </w:pPr>
    </w:lvl>
    <w:lvl w:ilvl="8" w:tplc="22D0D296" w:tentative="1">
      <w:start w:val="1"/>
      <w:numFmt w:val="lowerRoman"/>
      <w:lvlText w:val="%9."/>
      <w:lvlJc w:val="right"/>
      <w:pPr>
        <w:ind w:left="6480" w:hanging="180"/>
      </w:pPr>
    </w:lvl>
  </w:abstractNum>
  <w:abstractNum w:abstractNumId="1" w15:restartNumberingAfterBreak="0">
    <w:nsid w:val="367D0BB8"/>
    <w:multiLevelType w:val="hybridMultilevel"/>
    <w:tmpl w:val="852EB16C"/>
    <w:lvl w:ilvl="0" w:tplc="8A6CCCCE">
      <w:start w:val="1"/>
      <w:numFmt w:val="decimal"/>
      <w:lvlText w:val="%1)"/>
      <w:lvlJc w:val="left"/>
      <w:pPr>
        <w:ind w:left="720" w:hanging="360"/>
      </w:pPr>
      <w:rPr>
        <w:rFonts w:hint="default"/>
      </w:rPr>
    </w:lvl>
    <w:lvl w:ilvl="1" w:tplc="77A8DF14">
      <w:start w:val="1"/>
      <w:numFmt w:val="lowerLetter"/>
      <w:lvlText w:val="%2."/>
      <w:lvlJc w:val="left"/>
      <w:pPr>
        <w:ind w:left="1440" w:hanging="360"/>
      </w:pPr>
    </w:lvl>
    <w:lvl w:ilvl="2" w:tplc="80A6DC6C" w:tentative="1">
      <w:start w:val="1"/>
      <w:numFmt w:val="lowerRoman"/>
      <w:lvlText w:val="%3."/>
      <w:lvlJc w:val="right"/>
      <w:pPr>
        <w:ind w:left="2160" w:hanging="180"/>
      </w:pPr>
    </w:lvl>
    <w:lvl w:ilvl="3" w:tplc="BB26529C" w:tentative="1">
      <w:start w:val="1"/>
      <w:numFmt w:val="decimal"/>
      <w:lvlText w:val="%4."/>
      <w:lvlJc w:val="left"/>
      <w:pPr>
        <w:ind w:left="2880" w:hanging="360"/>
      </w:pPr>
    </w:lvl>
    <w:lvl w:ilvl="4" w:tplc="79AAFC8A" w:tentative="1">
      <w:start w:val="1"/>
      <w:numFmt w:val="lowerLetter"/>
      <w:lvlText w:val="%5."/>
      <w:lvlJc w:val="left"/>
      <w:pPr>
        <w:ind w:left="3600" w:hanging="360"/>
      </w:pPr>
    </w:lvl>
    <w:lvl w:ilvl="5" w:tplc="F60CADBA" w:tentative="1">
      <w:start w:val="1"/>
      <w:numFmt w:val="lowerRoman"/>
      <w:lvlText w:val="%6."/>
      <w:lvlJc w:val="right"/>
      <w:pPr>
        <w:ind w:left="4320" w:hanging="180"/>
      </w:pPr>
    </w:lvl>
    <w:lvl w:ilvl="6" w:tplc="33DCFEE6" w:tentative="1">
      <w:start w:val="1"/>
      <w:numFmt w:val="decimal"/>
      <w:lvlText w:val="%7."/>
      <w:lvlJc w:val="left"/>
      <w:pPr>
        <w:ind w:left="5040" w:hanging="360"/>
      </w:pPr>
    </w:lvl>
    <w:lvl w:ilvl="7" w:tplc="432A2048" w:tentative="1">
      <w:start w:val="1"/>
      <w:numFmt w:val="lowerLetter"/>
      <w:lvlText w:val="%8."/>
      <w:lvlJc w:val="left"/>
      <w:pPr>
        <w:ind w:left="5760" w:hanging="360"/>
      </w:pPr>
    </w:lvl>
    <w:lvl w:ilvl="8" w:tplc="DCECF1C6" w:tentative="1">
      <w:start w:val="1"/>
      <w:numFmt w:val="lowerRoman"/>
      <w:lvlText w:val="%9."/>
      <w:lvlJc w:val="right"/>
      <w:pPr>
        <w:ind w:left="6480" w:hanging="180"/>
      </w:pPr>
    </w:lvl>
  </w:abstractNum>
  <w:abstractNum w:abstractNumId="2" w15:restartNumberingAfterBreak="0">
    <w:nsid w:val="570B08E3"/>
    <w:multiLevelType w:val="hybridMultilevel"/>
    <w:tmpl w:val="E862ABA2"/>
    <w:lvl w:ilvl="0" w:tplc="ECB2F642">
      <w:start w:val="1"/>
      <w:numFmt w:val="lowerLetter"/>
      <w:lvlText w:val="%1."/>
      <w:lvlJc w:val="left"/>
      <w:pPr>
        <w:ind w:left="630" w:hanging="360"/>
      </w:pPr>
      <w:rPr>
        <w:b/>
      </w:rPr>
    </w:lvl>
    <w:lvl w:ilvl="1" w:tplc="E3442CD8">
      <w:start w:val="1"/>
      <w:numFmt w:val="lowerLetter"/>
      <w:lvlText w:val="%2."/>
      <w:lvlJc w:val="left"/>
      <w:pPr>
        <w:ind w:left="1440" w:hanging="360"/>
      </w:pPr>
      <w:rPr>
        <w:b/>
      </w:rPr>
    </w:lvl>
    <w:lvl w:ilvl="2" w:tplc="D7DCB1B8">
      <w:start w:val="1"/>
      <w:numFmt w:val="lowerRoman"/>
      <w:lvlText w:val="%3."/>
      <w:lvlJc w:val="right"/>
      <w:pPr>
        <w:ind w:left="2160" w:hanging="180"/>
      </w:pPr>
    </w:lvl>
    <w:lvl w:ilvl="3" w:tplc="79B458B2" w:tentative="1">
      <w:start w:val="1"/>
      <w:numFmt w:val="decimal"/>
      <w:lvlText w:val="%4."/>
      <w:lvlJc w:val="left"/>
      <w:pPr>
        <w:ind w:left="2880" w:hanging="360"/>
      </w:pPr>
    </w:lvl>
    <w:lvl w:ilvl="4" w:tplc="10CCB88E" w:tentative="1">
      <w:start w:val="1"/>
      <w:numFmt w:val="lowerLetter"/>
      <w:lvlText w:val="%5."/>
      <w:lvlJc w:val="left"/>
      <w:pPr>
        <w:ind w:left="3600" w:hanging="360"/>
      </w:pPr>
    </w:lvl>
    <w:lvl w:ilvl="5" w:tplc="AE08E280" w:tentative="1">
      <w:start w:val="1"/>
      <w:numFmt w:val="lowerRoman"/>
      <w:lvlText w:val="%6."/>
      <w:lvlJc w:val="right"/>
      <w:pPr>
        <w:ind w:left="4320" w:hanging="180"/>
      </w:pPr>
    </w:lvl>
    <w:lvl w:ilvl="6" w:tplc="F4B209C6" w:tentative="1">
      <w:start w:val="1"/>
      <w:numFmt w:val="decimal"/>
      <w:lvlText w:val="%7."/>
      <w:lvlJc w:val="left"/>
      <w:pPr>
        <w:ind w:left="5040" w:hanging="360"/>
      </w:pPr>
    </w:lvl>
    <w:lvl w:ilvl="7" w:tplc="3BCEDE7C" w:tentative="1">
      <w:start w:val="1"/>
      <w:numFmt w:val="lowerLetter"/>
      <w:lvlText w:val="%8."/>
      <w:lvlJc w:val="left"/>
      <w:pPr>
        <w:ind w:left="5760" w:hanging="360"/>
      </w:pPr>
    </w:lvl>
    <w:lvl w:ilvl="8" w:tplc="B686C058" w:tentative="1">
      <w:start w:val="1"/>
      <w:numFmt w:val="lowerRoman"/>
      <w:lvlText w:val="%9."/>
      <w:lvlJc w:val="right"/>
      <w:pPr>
        <w:ind w:left="6480" w:hanging="180"/>
      </w:pPr>
    </w:lvl>
  </w:abstractNum>
  <w:abstractNum w:abstractNumId="3" w15:restartNumberingAfterBreak="0">
    <w:nsid w:val="64C5318C"/>
    <w:multiLevelType w:val="hybridMultilevel"/>
    <w:tmpl w:val="7B22443C"/>
    <w:lvl w:ilvl="0" w:tplc="3A0C525A">
      <w:start w:val="1"/>
      <w:numFmt w:val="decimal"/>
      <w:lvlText w:val="%1."/>
      <w:lvlJc w:val="left"/>
      <w:pPr>
        <w:ind w:left="720" w:hanging="360"/>
      </w:pPr>
    </w:lvl>
    <w:lvl w:ilvl="1" w:tplc="993C2038">
      <w:start w:val="1"/>
      <w:numFmt w:val="lowerLetter"/>
      <w:lvlText w:val="%2."/>
      <w:lvlJc w:val="left"/>
      <w:pPr>
        <w:ind w:left="1440" w:hanging="360"/>
      </w:pPr>
    </w:lvl>
    <w:lvl w:ilvl="2" w:tplc="45FEAFDA">
      <w:start w:val="1"/>
      <w:numFmt w:val="lowerRoman"/>
      <w:lvlText w:val="%3."/>
      <w:lvlJc w:val="right"/>
      <w:pPr>
        <w:ind w:left="2160" w:hanging="180"/>
      </w:pPr>
    </w:lvl>
    <w:lvl w:ilvl="3" w:tplc="E58E084C">
      <w:start w:val="1"/>
      <w:numFmt w:val="decimal"/>
      <w:lvlText w:val="%4)"/>
      <w:lvlJc w:val="left"/>
      <w:pPr>
        <w:ind w:left="2880" w:hanging="360"/>
      </w:pPr>
      <w:rPr>
        <w:rFonts w:hint="default"/>
      </w:rPr>
    </w:lvl>
    <w:lvl w:ilvl="4" w:tplc="A59AA5A2" w:tentative="1">
      <w:start w:val="1"/>
      <w:numFmt w:val="lowerLetter"/>
      <w:lvlText w:val="%5."/>
      <w:lvlJc w:val="left"/>
      <w:pPr>
        <w:ind w:left="3600" w:hanging="360"/>
      </w:pPr>
    </w:lvl>
    <w:lvl w:ilvl="5" w:tplc="CD46A676" w:tentative="1">
      <w:start w:val="1"/>
      <w:numFmt w:val="lowerRoman"/>
      <w:lvlText w:val="%6."/>
      <w:lvlJc w:val="right"/>
      <w:pPr>
        <w:ind w:left="4320" w:hanging="180"/>
      </w:pPr>
    </w:lvl>
    <w:lvl w:ilvl="6" w:tplc="7FC4FD72" w:tentative="1">
      <w:start w:val="1"/>
      <w:numFmt w:val="decimal"/>
      <w:lvlText w:val="%7."/>
      <w:lvlJc w:val="left"/>
      <w:pPr>
        <w:ind w:left="5040" w:hanging="360"/>
      </w:pPr>
    </w:lvl>
    <w:lvl w:ilvl="7" w:tplc="963603D8" w:tentative="1">
      <w:start w:val="1"/>
      <w:numFmt w:val="lowerLetter"/>
      <w:lvlText w:val="%8."/>
      <w:lvlJc w:val="left"/>
      <w:pPr>
        <w:ind w:left="5760" w:hanging="360"/>
      </w:pPr>
    </w:lvl>
    <w:lvl w:ilvl="8" w:tplc="C0FAE632"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131F"/>
    <w:rsid w:val="005006E1"/>
    <w:rsid w:val="0053131F"/>
    <w:rsid w:val="007B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7EFB1AD9"/>
  <w15:docId w15:val="{23F98E2D-617E-4D97-9243-6E37493ED56A}"/>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9F4AE0"/>
    <w:rPr>
      <w:color w:val="0000FF" w:themeColor="hyperlink"/>
      <w:u w:val="single"/>
    </w:rPr>
  </w:style>
  <w:style w:type="paragraph" w:styleId="NormalWeb">
    <w:name w:val="Normal (Web)"/>
    <w:basedOn w:val="Normal"/>
    <w:uiPriority w:val="99"/>
    <w:unhideWhenUsed/>
    <w:rsid w:val="003324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s://www.vip.vetbiz.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m.gov/portal/public/S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vetbiz.gov/" TargetMode="External"/><Relationship Id="rId5" Type="http://schemas.openxmlformats.org/officeDocument/2006/relationships/footnotes" Target="footnotes.xml"/><Relationship Id="rId10"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yperlink" Target="mailto:Parvinder.brar@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1954</Words>
  <Characters>11824</Characters>
  <Application>Microsoft Office Word</Application>
  <DocSecurity>0</DocSecurity>
  <Lines>591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Brar, Parvinder</cp:lastModifiedBy>
  <cp:revision>2</cp:revision>
  <dcterms:created xsi:type="dcterms:W3CDTF">2017-10-05T19:36:00Z</dcterms:created>
  <dcterms:modified xsi:type="dcterms:W3CDTF">2017-10-05T19:56:00Z</dcterms:modified>
</cp:coreProperties>
</file>