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4D87" w14:textId="617EC0DE" w:rsidR="00FA4BE3" w:rsidRDefault="00FA4BE3" w:rsidP="007B3A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F85">
        <w:rPr>
          <w:rFonts w:ascii="Arial" w:hAnsi="Arial" w:cs="Arial"/>
          <w:b/>
          <w:sz w:val="28"/>
          <w:szCs w:val="28"/>
          <w:u w:val="single"/>
        </w:rPr>
        <w:t xml:space="preserve">Salient Characteristics </w:t>
      </w:r>
    </w:p>
    <w:p w14:paraId="56B9EDEC" w14:textId="30D93E02" w:rsidR="00095E99" w:rsidRPr="00D468F4" w:rsidRDefault="00095E99" w:rsidP="007B3A14">
      <w:pPr>
        <w:jc w:val="center"/>
        <w:rPr>
          <w:rFonts w:ascii="Arial" w:hAnsi="Arial" w:cs="Arial"/>
          <w:sz w:val="20"/>
          <w:szCs w:val="20"/>
        </w:rPr>
      </w:pPr>
      <w:r w:rsidRPr="00D468F4">
        <w:rPr>
          <w:rFonts w:ascii="Arial" w:hAnsi="Arial" w:cs="Arial"/>
          <w:sz w:val="20"/>
          <w:szCs w:val="20"/>
        </w:rPr>
        <w:t>Brand Name or Equal</w:t>
      </w:r>
    </w:p>
    <w:p w14:paraId="02A54E7F" w14:textId="77777777" w:rsidR="00095E99" w:rsidRPr="00D468F4" w:rsidRDefault="00095E99" w:rsidP="00095E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8F4">
        <w:rPr>
          <w:rFonts w:ascii="Arial" w:hAnsi="Arial" w:cs="Arial"/>
          <w:sz w:val="20"/>
          <w:szCs w:val="20"/>
        </w:rPr>
        <w:t xml:space="preserve">Equal must meet these salient characteristics. Explanation of how equal meets each salient characteristic and must be included with quote. </w:t>
      </w:r>
    </w:p>
    <w:p w14:paraId="1AC12146" w14:textId="77777777" w:rsidR="00095E99" w:rsidRPr="00D468F4" w:rsidRDefault="00095E99" w:rsidP="00095E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12A7A6" w14:textId="021AF8D9" w:rsidR="00491E98" w:rsidRPr="00491E98" w:rsidRDefault="00491E98" w:rsidP="00491E98">
      <w:pPr>
        <w:spacing w:after="0"/>
        <w:rPr>
          <w:rFonts w:ascii="Arial" w:hAnsi="Arial" w:cs="Arial"/>
          <w:sz w:val="20"/>
          <w:szCs w:val="20"/>
        </w:rPr>
      </w:pPr>
      <w:r w:rsidRPr="00491E98">
        <w:rPr>
          <w:rFonts w:ascii="Arial" w:hAnsi="Arial" w:cs="Arial"/>
          <w:sz w:val="20"/>
          <w:szCs w:val="20"/>
        </w:rPr>
        <w:t xml:space="preserve">Contractor shall provide supplies and equipment necessary to provide </w:t>
      </w:r>
      <w:r>
        <w:rPr>
          <w:rFonts w:ascii="Arial" w:hAnsi="Arial" w:cs="Arial"/>
          <w:sz w:val="20"/>
          <w:szCs w:val="20"/>
        </w:rPr>
        <w:t xml:space="preserve">two </w:t>
      </w:r>
      <w:r w:rsidRPr="00491E98">
        <w:rPr>
          <w:rFonts w:ascii="Arial" w:hAnsi="Arial" w:cs="Arial"/>
          <w:sz w:val="20"/>
          <w:szCs w:val="20"/>
        </w:rPr>
        <w:t xml:space="preserve">(2) Precise Calibration </w:t>
      </w:r>
      <w:r>
        <w:rPr>
          <w:rFonts w:ascii="Arial" w:hAnsi="Arial" w:cs="Arial"/>
          <w:sz w:val="20"/>
          <w:szCs w:val="20"/>
        </w:rPr>
        <w:t xml:space="preserve">Pipette </w:t>
      </w:r>
      <w:r w:rsidRPr="00491E98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s, Part #PCS510 brand name </w:t>
      </w:r>
      <w:r w:rsidR="003C5F4E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Artel</w:t>
      </w:r>
      <w:r w:rsidRPr="00491E9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two </w:t>
      </w:r>
      <w:r w:rsidRPr="00491E98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491E98">
        <w:rPr>
          <w:rFonts w:ascii="Arial" w:hAnsi="Arial" w:cs="Arial"/>
          <w:sz w:val="20"/>
          <w:szCs w:val="20"/>
        </w:rPr>
        <w:t>Aerospray</w:t>
      </w:r>
      <w:proofErr w:type="spellEnd"/>
      <w:r w:rsidRPr="00491E98">
        <w:rPr>
          <w:rFonts w:ascii="Arial" w:hAnsi="Arial" w:cs="Arial"/>
          <w:sz w:val="20"/>
          <w:szCs w:val="20"/>
        </w:rPr>
        <w:t xml:space="preserve"> Hematology STAT Series 2 Slide and </w:t>
      </w:r>
      <w:proofErr w:type="spellStart"/>
      <w:r w:rsidRPr="00491E98">
        <w:rPr>
          <w:rFonts w:ascii="Arial" w:hAnsi="Arial" w:cs="Arial"/>
          <w:sz w:val="20"/>
          <w:szCs w:val="20"/>
        </w:rPr>
        <w:t>Stainer</w:t>
      </w:r>
      <w:proofErr w:type="spellEnd"/>
      <w:r w:rsidRPr="00491E98">
        <w:rPr>
          <w:rFonts w:ascii="Arial" w:hAnsi="Arial" w:cs="Arial"/>
          <w:sz w:val="20"/>
          <w:szCs w:val="20"/>
        </w:rPr>
        <w:t xml:space="preserve"> / Cytocentrifuge</w:t>
      </w:r>
      <w:r>
        <w:rPr>
          <w:rFonts w:ascii="Arial" w:hAnsi="Arial" w:cs="Arial"/>
          <w:sz w:val="20"/>
          <w:szCs w:val="20"/>
        </w:rPr>
        <w:t xml:space="preserve"> (model #7122), Part #7122, brand name </w:t>
      </w:r>
      <w:r w:rsidR="003C5F4E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Artel</w:t>
      </w:r>
      <w:r w:rsidRPr="00491E98">
        <w:rPr>
          <w:rFonts w:ascii="Arial" w:hAnsi="Arial" w:cs="Arial"/>
          <w:sz w:val="20"/>
          <w:szCs w:val="20"/>
        </w:rPr>
        <w:t xml:space="preserve"> for the W.C. Bill Young Healthcare System in Bay Pines, FL, as de</w:t>
      </w:r>
      <w:bookmarkStart w:id="0" w:name="_GoBack"/>
      <w:bookmarkEnd w:id="0"/>
      <w:r w:rsidRPr="00491E98">
        <w:rPr>
          <w:rFonts w:ascii="Arial" w:hAnsi="Arial" w:cs="Arial"/>
          <w:sz w:val="20"/>
          <w:szCs w:val="20"/>
        </w:rPr>
        <w:t xml:space="preserve">fined by these salient characteristics. </w:t>
      </w:r>
    </w:p>
    <w:p w14:paraId="1E0BD44C" w14:textId="77777777" w:rsidR="00095E99" w:rsidRPr="00D468F4" w:rsidRDefault="00095E99" w:rsidP="00095E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05C6F0" w14:textId="299DA7D7" w:rsidR="00095E99" w:rsidRDefault="00095E99" w:rsidP="00095E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8F4">
        <w:rPr>
          <w:rFonts w:ascii="Arial" w:hAnsi="Arial" w:cs="Arial"/>
          <w:sz w:val="20"/>
          <w:szCs w:val="20"/>
        </w:rPr>
        <w:t>EQUIPMENT REQUIREMENT: Below are the charact</w:t>
      </w:r>
      <w:r w:rsidR="00CF2435">
        <w:rPr>
          <w:rFonts w:ascii="Arial" w:hAnsi="Arial" w:cs="Arial"/>
          <w:sz w:val="20"/>
          <w:szCs w:val="20"/>
        </w:rPr>
        <w:t>eristics that shall be provided:</w:t>
      </w:r>
    </w:p>
    <w:p w14:paraId="173B973B" w14:textId="77777777" w:rsidR="00491E98" w:rsidRPr="00C02080" w:rsidRDefault="00491E98" w:rsidP="00491E98">
      <w:pPr>
        <w:spacing w:after="0"/>
        <w:jc w:val="center"/>
        <w:rPr>
          <w:b/>
          <w:sz w:val="28"/>
          <w:szCs w:val="28"/>
        </w:rPr>
      </w:pPr>
    </w:p>
    <w:p w14:paraId="5C768BFE" w14:textId="28BE328E" w:rsidR="00491E98" w:rsidRPr="00491E98" w:rsidRDefault="00491E98" w:rsidP="00491E98">
      <w:pPr>
        <w:spacing w:after="0"/>
        <w:rPr>
          <w:rFonts w:cs="Arial"/>
          <w:b/>
          <w:sz w:val="28"/>
          <w:szCs w:val="28"/>
        </w:rPr>
      </w:pPr>
      <w:r w:rsidRPr="00491E98">
        <w:rPr>
          <w:rFonts w:cs="Arial"/>
          <w:b/>
          <w:sz w:val="28"/>
          <w:szCs w:val="28"/>
        </w:rPr>
        <w:t>1</w:t>
      </w:r>
      <w:r w:rsidRPr="00491E98">
        <w:rPr>
          <w:rFonts w:cs="Arial"/>
          <w:b/>
          <w:sz w:val="28"/>
          <w:szCs w:val="28"/>
        </w:rPr>
        <w:t>. Pipette Calibration System (PCS)</w:t>
      </w:r>
      <w:r w:rsidRPr="00491E98">
        <w:rPr>
          <w:rFonts w:cs="Arial"/>
          <w:b/>
          <w:sz w:val="28"/>
          <w:szCs w:val="28"/>
        </w:rPr>
        <w:t xml:space="preserve"> – brand name or equal:</w:t>
      </w:r>
    </w:p>
    <w:p w14:paraId="4AE57EB1" w14:textId="77777777" w:rsidR="00491E98" w:rsidRPr="00F7340F" w:rsidRDefault="00491E98" w:rsidP="00491E98">
      <w:pPr>
        <w:spacing w:after="0"/>
        <w:rPr>
          <w:rFonts w:cs="Arial"/>
        </w:rPr>
      </w:pPr>
    </w:p>
    <w:p w14:paraId="3B882B90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Must Calibrates single channel pipettes from 0.1 </w:t>
      </w:r>
      <w:proofErr w:type="spellStart"/>
      <w:r w:rsidRPr="00F7340F">
        <w:rPr>
          <w:rFonts w:cs="Arial"/>
        </w:rPr>
        <w:t>μL</w:t>
      </w:r>
      <w:proofErr w:type="spellEnd"/>
      <w:r w:rsidRPr="00F7340F">
        <w:rPr>
          <w:rFonts w:cs="Arial"/>
        </w:rPr>
        <w:t xml:space="preserve"> to 5,000 </w:t>
      </w:r>
      <w:proofErr w:type="spellStart"/>
      <w:r w:rsidRPr="00F7340F">
        <w:rPr>
          <w:rFonts w:cs="Arial"/>
        </w:rPr>
        <w:t>μL</w:t>
      </w:r>
      <w:proofErr w:type="spellEnd"/>
      <w:r w:rsidRPr="00F7340F">
        <w:rPr>
          <w:rFonts w:cs="Arial"/>
        </w:rPr>
        <w:t xml:space="preserve"> in less than three minutes</w:t>
      </w:r>
    </w:p>
    <w:p w14:paraId="71FC14A4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Allow scheduling of operator competency assessments</w:t>
      </w:r>
    </w:p>
    <w:p w14:paraId="6EB0D5E8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have an Intuitive dashboard to provide immediate overview of due calibrations and operator assessments</w:t>
      </w:r>
    </w:p>
    <w:p w14:paraId="110B08B7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>
        <w:rPr>
          <w:rFonts w:cs="Arial"/>
        </w:rPr>
        <w:t>Must Offer</w:t>
      </w:r>
      <w:r w:rsidRPr="00F7340F">
        <w:rPr>
          <w:rFonts w:cs="Arial"/>
        </w:rPr>
        <w:t xml:space="preserve"> digital review and approval workflow</w:t>
      </w:r>
    </w:p>
    <w:p w14:paraId="6F5A0974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Provide comprehensive reporting, including audit trail and printing of calibration labels</w:t>
      </w:r>
    </w:p>
    <w:p w14:paraId="6C299116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be a Compact and portable design for use in any laboratory</w:t>
      </w:r>
    </w:p>
    <w:p w14:paraId="11AFF334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Perform to the same tight specifications under various laboratory conditions; no special environmental controls required</w:t>
      </w:r>
    </w:p>
    <w:p w14:paraId="2611CF42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Generate results traceable to national (NIST) and international standards (SI units)</w:t>
      </w:r>
    </w:p>
    <w:p w14:paraId="1448E7C1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Comply with regulatory requirements (CAP, CLIA, ISO, CLSI)</w:t>
      </w:r>
    </w:p>
    <w:p w14:paraId="4BEF833F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Facilitate compliance to 21 CFR Part 11</w:t>
      </w:r>
    </w:p>
    <w:p w14:paraId="3E8AE134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Calibrate pipettes in the lab in which they are used</w:t>
      </w:r>
    </w:p>
    <w:p w14:paraId="70EE4F25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Standardize pipetting technique with scheduled and documented operator competency assessments</w:t>
      </w:r>
    </w:p>
    <w:p w14:paraId="015F34AF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Conduct interim performance verifications to supplement full calibration programs</w:t>
      </w:r>
    </w:p>
    <w:p w14:paraId="3C74C2F7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Perform “quick checks” when pipetting performance or operator technique is in question</w:t>
      </w:r>
    </w:p>
    <w:p w14:paraId="666849B5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be able to scan (barcode readable) calibration solutions</w:t>
      </w:r>
    </w:p>
    <w:p w14:paraId="49E0911A" w14:textId="77777777" w:rsidR="00491E98" w:rsidRPr="00F7340F" w:rsidRDefault="00491E98" w:rsidP="00491E98">
      <w:pPr>
        <w:numPr>
          <w:ilvl w:val="0"/>
          <w:numId w:val="20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Must be able to scan pipette IDs</w:t>
      </w:r>
    </w:p>
    <w:p w14:paraId="472B5EF2" w14:textId="77777777" w:rsidR="00491E98" w:rsidRPr="00F7340F" w:rsidRDefault="00491E98" w:rsidP="00491E98">
      <w:pPr>
        <w:spacing w:after="0"/>
        <w:rPr>
          <w:rFonts w:cs="Arial"/>
        </w:rPr>
      </w:pPr>
    </w:p>
    <w:p w14:paraId="65E65536" w14:textId="77777777" w:rsidR="00491E98" w:rsidRPr="00F7340F" w:rsidRDefault="00491E98" w:rsidP="00491E98">
      <w:pPr>
        <w:spacing w:after="0"/>
        <w:ind w:left="360"/>
        <w:rPr>
          <w:rFonts w:cs="Arial"/>
          <w:b/>
          <w:sz w:val="24"/>
          <w:szCs w:val="24"/>
          <w:u w:val="single"/>
        </w:rPr>
      </w:pPr>
      <w:r w:rsidRPr="00F7340F">
        <w:rPr>
          <w:rFonts w:cs="Arial"/>
          <w:b/>
          <w:sz w:val="24"/>
          <w:szCs w:val="24"/>
          <w:u w:val="single"/>
        </w:rPr>
        <w:t>Specifications</w:t>
      </w:r>
    </w:p>
    <w:p w14:paraId="505FD6A7" w14:textId="77777777" w:rsidR="00491E98" w:rsidRPr="00F7340F" w:rsidRDefault="00491E98" w:rsidP="00491E98">
      <w:pPr>
        <w:spacing w:after="0"/>
        <w:ind w:left="360"/>
        <w:rPr>
          <w:rFonts w:cs="Arial"/>
          <w:b/>
          <w:u w:val="single"/>
        </w:rPr>
      </w:pPr>
    </w:p>
    <w:p w14:paraId="07BA9CF0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Volume Range:  0.1 µL to 5000 µL </w:t>
      </w:r>
    </w:p>
    <w:p w14:paraId="1D23559E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Inaccuracy:  0.6% </w:t>
      </w:r>
    </w:p>
    <w:p w14:paraId="6F984B3D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Imprecision:  0.3% CV </w:t>
      </w:r>
    </w:p>
    <w:p w14:paraId="408B4FE2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Wavelengths:  520 nm and 730 nm  </w:t>
      </w:r>
    </w:p>
    <w:p w14:paraId="3B845A28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Operational Ambient Specifications Temperature:  15 °C to 30 °C</w:t>
      </w:r>
    </w:p>
    <w:p w14:paraId="5F838E31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 Relative Humidity: 10% to 90%, non-condensing </w:t>
      </w:r>
    </w:p>
    <w:p w14:paraId="54F2C996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lastRenderedPageBreak/>
        <w:t xml:space="preserve">Space Requirements:  22.4 cm x 33.0 cm x 14.7 cm (W x L </w:t>
      </w:r>
      <w:proofErr w:type="gramStart"/>
      <w:r w:rsidRPr="00F7340F">
        <w:rPr>
          <w:rFonts w:cs="Arial"/>
        </w:rPr>
        <w:t>x</w:t>
      </w:r>
      <w:proofErr w:type="gramEnd"/>
      <w:r w:rsidRPr="00F7340F">
        <w:rPr>
          <w:rFonts w:cs="Arial"/>
        </w:rPr>
        <w:t xml:space="preserve"> H) </w:t>
      </w:r>
    </w:p>
    <w:p w14:paraId="012C6CE4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Weight:  5.7 kg (12.5 lbs.) </w:t>
      </w:r>
    </w:p>
    <w:p w14:paraId="205A21CD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Electrical Power Requirements:  Voltage: 90 – 260 VAC</w:t>
      </w:r>
    </w:p>
    <w:p w14:paraId="3CCF6714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 Frequency:  50 – 60 Hz</w:t>
      </w:r>
    </w:p>
    <w:p w14:paraId="7BB232AE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 Current:  2 A maximum </w:t>
      </w:r>
    </w:p>
    <w:p w14:paraId="7E4F3F95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>Warranty:  1 year</w:t>
      </w:r>
    </w:p>
    <w:p w14:paraId="4147396E" w14:textId="77777777" w:rsidR="00491E98" w:rsidRPr="00F7340F" w:rsidRDefault="00491E98" w:rsidP="00491E98">
      <w:pPr>
        <w:numPr>
          <w:ilvl w:val="0"/>
          <w:numId w:val="21"/>
        </w:numPr>
        <w:spacing w:after="0" w:line="259" w:lineRule="auto"/>
        <w:rPr>
          <w:rFonts w:cs="Arial"/>
        </w:rPr>
      </w:pPr>
      <w:r w:rsidRPr="00F7340F">
        <w:rPr>
          <w:rFonts w:cs="Arial"/>
        </w:rPr>
        <w:t xml:space="preserve">Operating System:  Windows® 10 or newer, x64 Processor: 1.4 </w:t>
      </w:r>
      <w:proofErr w:type="gramStart"/>
      <w:r w:rsidRPr="00F7340F">
        <w:rPr>
          <w:rFonts w:cs="Arial"/>
        </w:rPr>
        <w:t>GHz,  4</w:t>
      </w:r>
      <w:proofErr w:type="gramEnd"/>
      <w:r w:rsidRPr="00F7340F">
        <w:rPr>
          <w:rFonts w:cs="Arial"/>
        </w:rPr>
        <w:t xml:space="preserve"> GB Memory, and 40 GB of hard drive storage space</w:t>
      </w:r>
    </w:p>
    <w:p w14:paraId="17A5C3FE" w14:textId="54A6D5DF" w:rsidR="00C46671" w:rsidRDefault="00C46671" w:rsidP="00491E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A633D9" w14:textId="791A757F" w:rsidR="00491E98" w:rsidRPr="00491E98" w:rsidRDefault="00491E98" w:rsidP="00491E98">
      <w:pPr>
        <w:pStyle w:val="ListParagraph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 </w:t>
      </w:r>
      <w:proofErr w:type="spellStart"/>
      <w:r w:rsidRPr="00491E98">
        <w:rPr>
          <w:rFonts w:cs="Arial"/>
          <w:b/>
          <w:sz w:val="28"/>
          <w:szCs w:val="28"/>
        </w:rPr>
        <w:t>Aerospray</w:t>
      </w:r>
      <w:proofErr w:type="spellEnd"/>
      <w:r w:rsidRPr="00491E98">
        <w:rPr>
          <w:rFonts w:cs="Arial"/>
          <w:b/>
          <w:sz w:val="28"/>
          <w:szCs w:val="28"/>
        </w:rPr>
        <w:t xml:space="preserve"> Hematology Stat Series 2</w:t>
      </w:r>
      <w:r>
        <w:rPr>
          <w:rFonts w:cs="Arial"/>
          <w:b/>
          <w:sz w:val="28"/>
          <w:szCs w:val="28"/>
        </w:rPr>
        <w:t xml:space="preserve"> – brand name or equal:</w:t>
      </w:r>
    </w:p>
    <w:p w14:paraId="0D1FC5E8" w14:textId="77777777" w:rsidR="00491E98" w:rsidRPr="00F7340F" w:rsidRDefault="00491E98" w:rsidP="00491E98">
      <w:pPr>
        <w:pStyle w:val="ListParagraph"/>
        <w:ind w:left="360"/>
        <w:rPr>
          <w:rFonts w:cs="Arial"/>
          <w:b/>
          <w:u w:val="single"/>
        </w:rPr>
      </w:pPr>
    </w:p>
    <w:p w14:paraId="16F7FFFE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Slide Carousel Capacity up to 12 slides</w:t>
      </w:r>
    </w:p>
    <w:p w14:paraId="43247B48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Cytocentrifuge Rotor Speed 100-2000 rpm (± 5%), user programmable</w:t>
      </w:r>
    </w:p>
    <w:p w14:paraId="699A41FC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 xml:space="preserve">Dimensions (W x H </w:t>
      </w:r>
      <w:proofErr w:type="gramStart"/>
      <w:r w:rsidRPr="00F7340F">
        <w:t>x</w:t>
      </w:r>
      <w:proofErr w:type="gramEnd"/>
      <w:r w:rsidRPr="00F7340F">
        <w:t xml:space="preserve"> D):  57 cm x 25 cm x 54 cm (22” x 10” x 21”)</w:t>
      </w:r>
    </w:p>
    <w:p w14:paraId="5DE24FAA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Clearance Height (lid open) 58 cm (23”)</w:t>
      </w:r>
    </w:p>
    <w:p w14:paraId="4E1714E8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 xml:space="preserve">Weight less than 15.2 kg (33.5 </w:t>
      </w:r>
      <w:proofErr w:type="spellStart"/>
      <w:r w:rsidRPr="00F7340F">
        <w:t>lb</w:t>
      </w:r>
      <w:proofErr w:type="spellEnd"/>
      <w:r w:rsidRPr="00F7340F">
        <w:t>)</w:t>
      </w:r>
    </w:p>
    <w:p w14:paraId="6689F48D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Electrical Requirements:  100 to 240 VAC (±10%), @ 50-60 Hz, 200 watts maximum</w:t>
      </w:r>
    </w:p>
    <w:p w14:paraId="5577B11E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Drain Connection Outlet on rear panel</w:t>
      </w:r>
    </w:p>
    <w:p w14:paraId="6BD2BB51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Safety Lid interlock: Lid must be closed for operation, and is locked down during carousel rotation</w:t>
      </w:r>
    </w:p>
    <w:p w14:paraId="0E68F017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Reagent Level Detection on all reagent lines</w:t>
      </w:r>
    </w:p>
    <w:p w14:paraId="6ACF57ED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Waste Level Detection in waste bottle</w:t>
      </w:r>
    </w:p>
    <w:p w14:paraId="2F6D1A6E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be </w:t>
      </w:r>
      <w:r w:rsidRPr="00F7340F">
        <w:t>user programmability:  m</w:t>
      </w:r>
      <w:r w:rsidRPr="00F7340F">
        <w:rPr>
          <w:rFonts w:cs="Arial"/>
        </w:rPr>
        <w:t>ust be</w:t>
      </w:r>
      <w:r w:rsidRPr="00F7340F">
        <w:t xml:space="preserve"> easily programmed, must have a choice of 10 intensity settings including 3 settings for bone marrow. </w:t>
      </w:r>
    </w:p>
    <w:p w14:paraId="079BC734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  <w:rPr>
          <w:b/>
          <w:u w:val="single"/>
        </w:rPr>
      </w:pPr>
      <w:r w:rsidRPr="00F7340F">
        <w:rPr>
          <w:rFonts w:cs="Arial"/>
        </w:rPr>
        <w:t xml:space="preserve">Must have </w:t>
      </w:r>
      <w:r w:rsidRPr="00F7340F">
        <w:t>the staining cycle in steps:</w:t>
      </w:r>
    </w:p>
    <w:p w14:paraId="7E35D62D" w14:textId="77777777" w:rsidR="00491E98" w:rsidRPr="00F7340F" w:rsidRDefault="00491E98" w:rsidP="00491E98">
      <w:pPr>
        <w:pStyle w:val="ListParagraph"/>
        <w:numPr>
          <w:ilvl w:val="1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>
        <w:rPr>
          <w:rFonts w:cs="Arial"/>
        </w:rPr>
        <w:t xml:space="preserve">an </w:t>
      </w:r>
      <w:proofErr w:type="spellStart"/>
      <w:r>
        <w:rPr>
          <w:rFonts w:cs="Arial"/>
        </w:rPr>
        <w:t>aerospray</w:t>
      </w:r>
      <w:proofErr w:type="spellEnd"/>
      <w:r w:rsidRPr="00F7340F">
        <w:t xml:space="preserve"> technology:  reagents applied from atomizing spray nozzles</w:t>
      </w:r>
    </w:p>
    <w:p w14:paraId="726676B4" w14:textId="77777777" w:rsidR="00491E98" w:rsidRPr="00F7340F" w:rsidRDefault="00491E98" w:rsidP="00491E98">
      <w:pPr>
        <w:pStyle w:val="ListParagraph"/>
        <w:numPr>
          <w:ilvl w:val="1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 xml:space="preserve">Smears automatically fixed with methanol or fixative at the beginning of the staining cycle (alternatively, slides can be hand-fixed using methanol or </w:t>
      </w:r>
      <w:r>
        <w:t>fixative</w:t>
      </w:r>
      <w:r w:rsidRPr="00F7340F">
        <w:t>).</w:t>
      </w:r>
    </w:p>
    <w:p w14:paraId="5FE4C90E" w14:textId="77777777" w:rsidR="00491E98" w:rsidRPr="00F7340F" w:rsidRDefault="00491E98" w:rsidP="00491E98">
      <w:pPr>
        <w:pStyle w:val="ListParagraph"/>
        <w:numPr>
          <w:ilvl w:val="1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 xml:space="preserve">a drying sequence, eosin stain is applied to stain acidophilic cell components, followed by a brief period for stain penetration. </w:t>
      </w:r>
      <w:proofErr w:type="spellStart"/>
      <w:r w:rsidRPr="00F7340F">
        <w:t>Thiazin</w:t>
      </w:r>
      <w:proofErr w:type="spellEnd"/>
      <w:r w:rsidRPr="00F7340F">
        <w:t xml:space="preserve"> dye is then applied to stain the basophilic cell components, followed by another brief stain penetration period.</w:t>
      </w:r>
    </w:p>
    <w:p w14:paraId="67020D0D" w14:textId="77777777" w:rsidR="00491E98" w:rsidRPr="00F7340F" w:rsidRDefault="00491E98" w:rsidP="00491E98">
      <w:pPr>
        <w:pStyle w:val="ListParagraph"/>
        <w:numPr>
          <w:ilvl w:val="1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 xml:space="preserve">A buffered rinse to clean the slides of excess stain and is then removed by centrifugation. </w:t>
      </w:r>
    </w:p>
    <w:p w14:paraId="54BBAC4C" w14:textId="77777777" w:rsidR="00491E98" w:rsidRPr="00F7340F" w:rsidRDefault="00491E98" w:rsidP="00491E98">
      <w:pPr>
        <w:pStyle w:val="ListParagraph"/>
        <w:numPr>
          <w:ilvl w:val="1"/>
          <w:numId w:val="19"/>
        </w:numPr>
        <w:spacing w:after="0" w:line="259" w:lineRule="auto"/>
      </w:pPr>
      <w:r w:rsidRPr="00F7340F">
        <w:t>Slides must be dry and ready for the microscope at the end of the cycle.</w:t>
      </w:r>
    </w:p>
    <w:p w14:paraId="3ECDD420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an </w:t>
      </w:r>
      <w:proofErr w:type="spellStart"/>
      <w:r w:rsidRPr="00F7340F">
        <w:t>Stainer</w:t>
      </w:r>
      <w:proofErr w:type="spellEnd"/>
      <w:r w:rsidRPr="00F7340F">
        <w:t xml:space="preserve"> using a two-part aqueous </w:t>
      </w:r>
      <w:proofErr w:type="spellStart"/>
      <w:r w:rsidRPr="008A6F6C">
        <w:t>Romanowsky</w:t>
      </w:r>
      <w:proofErr w:type="spellEnd"/>
      <w:r w:rsidRPr="00F7340F">
        <w:t xml:space="preserve"> stain. </w:t>
      </w:r>
    </w:p>
    <w:p w14:paraId="794F9468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RAPID STAINING KINETICS: Blood smears are fixed, stained, and dried in about 4 minutes.</w:t>
      </w:r>
    </w:p>
    <w:p w14:paraId="7CFD503D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IMPROVED STAIN STABILITY: a long shelf life and staining results are highly reproducible and consistent.</w:t>
      </w:r>
    </w:p>
    <w:p w14:paraId="1CFC3B1C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CLEAR FIELDS: virtually no stain precipitation or debris, slides are exceptionally clean.</w:t>
      </w:r>
    </w:p>
    <w:p w14:paraId="137459E5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8A6F6C">
        <w:t>BASOFIX</w:t>
      </w:r>
      <w:r w:rsidRPr="00F7340F">
        <w:t>:  formula yields stain coloration more reminiscent of alcohol-based stains. In addition to fixing basophil granules, primary granules are also strengthened.</w:t>
      </w:r>
    </w:p>
    <w:p w14:paraId="71A96CEC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lastRenderedPageBreak/>
        <w:t xml:space="preserve">Must have </w:t>
      </w:r>
      <w:r w:rsidRPr="00F7340F">
        <w:t>traceability:  stores critical information including; reagent data, specimen ID, user ID, and cycle operation history</w:t>
      </w:r>
    </w:p>
    <w:p w14:paraId="0BC4858F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 xml:space="preserve">Must have </w:t>
      </w:r>
      <w:r w:rsidRPr="00F7340F">
        <w:t>barcode scanner and manual keyboard entry</w:t>
      </w:r>
    </w:p>
    <w:p w14:paraId="0D44811D" w14:textId="77777777" w:rsidR="00491E98" w:rsidRPr="00F7340F" w:rsidRDefault="00491E98" w:rsidP="00491E98">
      <w:pPr>
        <w:pStyle w:val="ListParagraph"/>
        <w:numPr>
          <w:ilvl w:val="0"/>
          <w:numId w:val="19"/>
        </w:numPr>
        <w:spacing w:after="0" w:line="259" w:lineRule="auto"/>
      </w:pPr>
      <w:r w:rsidRPr="00F7340F">
        <w:rPr>
          <w:rFonts w:cs="Arial"/>
        </w:rPr>
        <w:t>Must have</w:t>
      </w:r>
      <w:r w:rsidRPr="00F7340F">
        <w:t xml:space="preserve"> a cycle time as short as 5 minutes / process more than 115 slides per hour</w:t>
      </w:r>
    </w:p>
    <w:p w14:paraId="1F67B5BD" w14:textId="77777777" w:rsidR="00491E98" w:rsidRPr="00D468F4" w:rsidRDefault="00491E98" w:rsidP="00491E9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91E98" w:rsidRPr="00D468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5D78" w14:textId="77777777" w:rsidR="00BC561A" w:rsidRDefault="00BC561A" w:rsidP="00BC561A">
      <w:pPr>
        <w:spacing w:after="0" w:line="240" w:lineRule="auto"/>
      </w:pPr>
      <w:r>
        <w:separator/>
      </w:r>
    </w:p>
  </w:endnote>
  <w:endnote w:type="continuationSeparator" w:id="0">
    <w:p w14:paraId="2C827444" w14:textId="77777777" w:rsidR="00BC561A" w:rsidRDefault="00BC561A" w:rsidP="00B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53EA" w14:textId="77777777" w:rsidR="00BC561A" w:rsidRDefault="00BC561A" w:rsidP="00BC561A">
      <w:pPr>
        <w:spacing w:after="0" w:line="240" w:lineRule="auto"/>
      </w:pPr>
      <w:r>
        <w:separator/>
      </w:r>
    </w:p>
  </w:footnote>
  <w:footnote w:type="continuationSeparator" w:id="0">
    <w:p w14:paraId="294FE25F" w14:textId="77777777" w:rsidR="00BC561A" w:rsidRDefault="00BC561A" w:rsidP="00BC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8150" w14:textId="55094210" w:rsidR="00BC561A" w:rsidRDefault="003C5F4E" w:rsidP="00B12D80">
    <w:pPr>
      <w:pStyle w:val="Header"/>
    </w:pPr>
    <w:r>
      <w:t>36C24818Q9595</w:t>
    </w:r>
  </w:p>
  <w:p w14:paraId="1A7EAE10" w14:textId="15757A2B" w:rsidR="00B12D80" w:rsidRDefault="00FB6423" w:rsidP="00B12D80">
    <w:pPr>
      <w:pStyle w:val="Header"/>
    </w:pPr>
    <w:r>
      <w:t>Attachment</w:t>
    </w:r>
    <w:r w:rsidR="00B12D80">
      <w:t xml:space="preserve"> A</w:t>
    </w:r>
  </w:p>
  <w:p w14:paraId="17136F5C" w14:textId="77777777" w:rsidR="00BC561A" w:rsidRDefault="00BC5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47D"/>
    <w:multiLevelType w:val="hybridMultilevel"/>
    <w:tmpl w:val="BB8A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4A9F"/>
    <w:multiLevelType w:val="hybridMultilevel"/>
    <w:tmpl w:val="ECDC615C"/>
    <w:lvl w:ilvl="0" w:tplc="F920D0D8">
      <w:numFmt w:val="bullet"/>
      <w:lvlText w:val="•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E30F8"/>
    <w:multiLevelType w:val="hybridMultilevel"/>
    <w:tmpl w:val="CA1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382E"/>
    <w:multiLevelType w:val="hybridMultilevel"/>
    <w:tmpl w:val="EE68C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72FD4"/>
    <w:multiLevelType w:val="multilevel"/>
    <w:tmpl w:val="0C36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1748B"/>
    <w:multiLevelType w:val="hybridMultilevel"/>
    <w:tmpl w:val="B680D1FE"/>
    <w:lvl w:ilvl="0" w:tplc="82E645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6686"/>
    <w:multiLevelType w:val="hybridMultilevel"/>
    <w:tmpl w:val="E22E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6316D"/>
    <w:multiLevelType w:val="hybridMultilevel"/>
    <w:tmpl w:val="E2DA6646"/>
    <w:lvl w:ilvl="0" w:tplc="F920D0D8">
      <w:numFmt w:val="bullet"/>
      <w:lvlText w:val="•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62AA"/>
    <w:multiLevelType w:val="hybridMultilevel"/>
    <w:tmpl w:val="E522F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7068B"/>
    <w:multiLevelType w:val="hybridMultilevel"/>
    <w:tmpl w:val="BF8C06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F20A6"/>
    <w:multiLevelType w:val="multilevel"/>
    <w:tmpl w:val="532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2F6C91"/>
    <w:multiLevelType w:val="hybridMultilevel"/>
    <w:tmpl w:val="EE80620E"/>
    <w:lvl w:ilvl="0" w:tplc="F920D0D8">
      <w:numFmt w:val="bullet"/>
      <w:lvlText w:val="•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91B03"/>
    <w:multiLevelType w:val="hybridMultilevel"/>
    <w:tmpl w:val="DE92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21E8"/>
    <w:multiLevelType w:val="hybridMultilevel"/>
    <w:tmpl w:val="13A0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F1039E"/>
    <w:multiLevelType w:val="hybridMultilevel"/>
    <w:tmpl w:val="E4ECCB32"/>
    <w:lvl w:ilvl="0" w:tplc="F920D0D8">
      <w:numFmt w:val="bullet"/>
      <w:lvlText w:val="•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2CA5"/>
    <w:multiLevelType w:val="hybridMultilevel"/>
    <w:tmpl w:val="BD5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11156"/>
    <w:multiLevelType w:val="hybridMultilevel"/>
    <w:tmpl w:val="6CA44FB0"/>
    <w:lvl w:ilvl="0" w:tplc="F920D0D8">
      <w:numFmt w:val="bullet"/>
      <w:lvlText w:val="•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F2553F"/>
    <w:multiLevelType w:val="hybridMultilevel"/>
    <w:tmpl w:val="3B1885CA"/>
    <w:lvl w:ilvl="0" w:tplc="F920D0D8">
      <w:numFmt w:val="bullet"/>
      <w:lvlText w:val="•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860"/>
    <w:multiLevelType w:val="hybridMultilevel"/>
    <w:tmpl w:val="379C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7BCC"/>
    <w:multiLevelType w:val="hybridMultilevel"/>
    <w:tmpl w:val="308E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3D36"/>
    <w:multiLevelType w:val="hybridMultilevel"/>
    <w:tmpl w:val="F11A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344E"/>
    <w:multiLevelType w:val="hybridMultilevel"/>
    <w:tmpl w:val="C596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1"/>
  </w:num>
  <w:num w:numId="5">
    <w:abstractNumId w:val="1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5"/>
  </w:num>
  <w:num w:numId="11">
    <w:abstractNumId w:val="10"/>
  </w:num>
  <w:num w:numId="12">
    <w:abstractNumId w:val="20"/>
  </w:num>
  <w:num w:numId="13">
    <w:abstractNumId w:val="0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1"/>
  </w:num>
  <w:num w:numId="19">
    <w:abstractNumId w:val="15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AA"/>
    <w:rsid w:val="00095E99"/>
    <w:rsid w:val="001042FC"/>
    <w:rsid w:val="001671EA"/>
    <w:rsid w:val="00177E3D"/>
    <w:rsid w:val="001A5605"/>
    <w:rsid w:val="001E3ADE"/>
    <w:rsid w:val="00312F85"/>
    <w:rsid w:val="003C5F4E"/>
    <w:rsid w:val="003D149F"/>
    <w:rsid w:val="003D506D"/>
    <w:rsid w:val="00426404"/>
    <w:rsid w:val="00491E98"/>
    <w:rsid w:val="00566A3F"/>
    <w:rsid w:val="0069120B"/>
    <w:rsid w:val="007B3A14"/>
    <w:rsid w:val="007D27DD"/>
    <w:rsid w:val="008B606B"/>
    <w:rsid w:val="00B12D80"/>
    <w:rsid w:val="00BC561A"/>
    <w:rsid w:val="00C46671"/>
    <w:rsid w:val="00C7018C"/>
    <w:rsid w:val="00C83BB3"/>
    <w:rsid w:val="00CA09AA"/>
    <w:rsid w:val="00CC1BBF"/>
    <w:rsid w:val="00CF2435"/>
    <w:rsid w:val="00CF2A2A"/>
    <w:rsid w:val="00D468F4"/>
    <w:rsid w:val="00EF5E7E"/>
    <w:rsid w:val="00FA4BE3"/>
    <w:rsid w:val="00FB6423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A11B"/>
  <w15:docId w15:val="{22F95484-8A70-424C-83F1-B9FC793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AA"/>
    <w:pPr>
      <w:ind w:left="720"/>
      <w:contextualSpacing/>
    </w:pPr>
  </w:style>
  <w:style w:type="paragraph" w:customStyle="1" w:styleId="BodyCopySubsequent">
    <w:name w:val="Body Copy Subsequent"/>
    <w:basedOn w:val="Normal"/>
    <w:qFormat/>
    <w:rsid w:val="007B3A14"/>
    <w:pPr>
      <w:widowControl w:val="0"/>
      <w:autoSpaceDE w:val="0"/>
      <w:autoSpaceDN w:val="0"/>
      <w:adjustRightInd w:val="0"/>
      <w:spacing w:before="160" w:after="0" w:line="264" w:lineRule="auto"/>
      <w:textAlignment w:val="center"/>
    </w:pPr>
    <w:rPr>
      <w:rFonts w:eastAsiaTheme="minorEastAsia" w:cs="Cambria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1A"/>
  </w:style>
  <w:style w:type="paragraph" w:styleId="Footer">
    <w:name w:val="footer"/>
    <w:basedOn w:val="Normal"/>
    <w:link w:val="FooterChar"/>
    <w:uiPriority w:val="99"/>
    <w:unhideWhenUsed/>
    <w:rsid w:val="00BC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C064F-1C90-46DB-80E3-26C3C363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A188B-381C-4280-A105-C85B549AC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90D53-0473-475B-90E2-C4B2B202457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Fornaro, Janice M</cp:lastModifiedBy>
  <cp:revision>2</cp:revision>
  <dcterms:created xsi:type="dcterms:W3CDTF">2018-08-03T13:04:00Z</dcterms:created>
  <dcterms:modified xsi:type="dcterms:W3CDTF">2018-08-03T13:04:00Z</dcterms:modified>
</cp:coreProperties>
</file>