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B4" w:rsidRDefault="000B2A59">
      <w:pPr>
        <w:pageBreakBefore/>
        <w:rPr>
          <w:color w:val="FFFFFF"/>
        </w:rPr>
        <w:sectPr w:rsidR="00AB5DB4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00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624;top:1248;width:10939;height:0;mso-position-horizontal-relative:page;mso-position-vertical-relative:page" o:connectortype="straight" strokeweight="2.4pt"/>
            <v:shape id="_x0000_s1098" type="#_x0000_t32" style="position:absolute;left:624;top:2112;width:10939;height:0;mso-position-horizontal-relative:page;mso-position-vertical-relative:page" o:connectortype="straight" strokeweight="1.92pt"/>
            <v:shape id="_x0000_s1097" type="#_x0000_t32" style="position:absolute;left:624;top:2208;width:10939;height:0;mso-position-horizontal-relative:page;mso-position-vertical-relative:page" o:connectortype="straight" strokeweight="1.92pt"/>
            <v:shape id="_x0000_s1096" type="#_x0000_t32" style="position:absolute;left:624;top:2688;width:10939;height:0;mso-position-horizontal-relative:page;mso-position-vertical-relative:page" o:connectortype="straight" strokeweight=".96pt"/>
            <v:shape id="_x0000_s1095" type="#_x0000_t32" style="position:absolute;left:624;top:3840;width:10939;height:0;mso-position-horizontal-relative:page;mso-position-vertical-relative:page" o:connectortype="straight" strokeweight="1.92pt"/>
            <v:shape id="_x0000_s1094" type="#_x0000_t32" style="position:absolute;left:624;top:4152;width:10939;height:0;mso-position-horizontal-relative:page;mso-position-vertical-relative:page" o:connectortype="straight" strokeweight="1.92pt"/>
            <v:shape id="_x0000_s1093" type="#_x0000_t32" style="position:absolute;left:624;top:4632;width:10939;height:0;mso-position-horizontal-relative:page;mso-position-vertical-relative:page" o:connectortype="straight" strokeweight=".96pt"/>
            <v:shape id="_x0000_s1092" type="#_x0000_t32" style="position:absolute;left:624;top:5112;width:10939;height:0;mso-position-horizontal-relative:page;mso-position-vertical-relative:page" o:connectortype="straight" strokeweight=".96pt"/>
            <v:shape id="_x0000_s1091" type="#_x0000_t32" style="position:absolute;left:624;top:5640;width:10939;height:0;mso-position-horizontal-relative:page;mso-position-vertical-relative:page" o:connectortype="straight" strokeweight=".96pt"/>
            <v:shape id="_x0000_s1090" type="#_x0000_t32" style="position:absolute;left:624;top:6168;width:10939;height:0;mso-position-horizontal-relative:page;mso-position-vertical-relative:page" o:connectortype="straight" strokeweight=".96pt"/>
            <v:shape id="_x0000_s1089" type="#_x0000_t32" style="position:absolute;left:624;top:6648;width:10939;height:0;mso-position-horizontal-relative:page;mso-position-vertical-relative:page" o:connectortype="straight" strokeweight=".96pt"/>
            <v:shape id="_x0000_s1088" type="#_x0000_t32" style="position:absolute;left:624;top:7704;width:10939;height:0;mso-position-horizontal-relative:page;mso-position-vertical-relative:page" o:connectortype="straight" strokeweight=".96pt"/>
            <v:shape id="_x0000_s1087" type="#_x0000_t32" style="position:absolute;left:624;top:8016;width:10939;height:0;mso-position-horizontal-relative:page;mso-position-vertical-relative:page" o:connectortype="straight" strokeweight=".96pt"/>
            <v:shape id="_x0000_s1086" type="#_x0000_t32" style="position:absolute;left:624;top:9312;width:10939;height:0;mso-position-horizontal-relative:page;mso-position-vertical-relative:page" o:connectortype="straight" strokeweight="1.92pt"/>
            <v:shape id="_x0000_s1085" type="#_x0000_t32" style="position:absolute;left:624;top:9624;width:10939;height:0;mso-position-horizontal-relative:page;mso-position-vertical-relative:page" o:connectortype="straight" strokeweight="1.92pt"/>
            <v:shape id="_x0000_s1084" type="#_x0000_t32" style="position:absolute;left:624;top:10104;width:10939;height:0;mso-position-horizontal-relative:page;mso-position-vertical-relative:page" o:connectortype="straight" strokeweight=".96pt"/>
            <v:shape id="_x0000_s1083" type="#_x0000_t32" style="position:absolute;left:624;top:10584;width:10939;height:0;mso-position-horizontal-relative:page;mso-position-vertical-relative:page" o:connectortype="straight" strokeweight="1.92pt"/>
            <v:shape id="_x0000_s1082" type="#_x0000_t32" style="position:absolute;left:624;top:11064;width:10939;height:0;mso-position-horizontal-relative:page;mso-position-vertical-relative:page" o:connectortype="straight" strokeweight=".96pt"/>
            <v:shape id="_x0000_s1081" type="#_x0000_t32" style="position:absolute;left:624;top:11544;width:10939;height:0;mso-position-horizontal-relative:page;mso-position-vertical-relative:page" o:connectortype="straight" strokeweight="2.4pt"/>
            <v:shape id="_x0000_s1080" type="#_x0000_t32" style="position:absolute;left:624;top:1248;width:0;height:10296;mso-position-horizontal-relative:page;mso-position-vertical-relative:page" o:connectortype="straight" strokeweight="2.16pt"/>
            <v:shape id="_x0000_s1079" type="#_x0000_t32" style="position:absolute;left:3840;top:2208;width:0;height:1632;mso-position-horizontal-relative:page;mso-position-vertical-relative:page" o:connectortype="straight" strokeweight=".72pt"/>
            <v:shape id="_x0000_s1078" type="#_x0000_t32" style="position:absolute;left:3840;top:4152;width:0;height:5160;mso-position-horizontal-relative:page;mso-position-vertical-relative:page" o:connectortype="straight" strokeweight=".72pt"/>
            <v:shape id="_x0000_s1077" type="#_x0000_t32" style="position:absolute;left:3840;top:9624;width:0;height:1920;mso-position-horizontal-relative:page;mso-position-vertical-relative:page" o:connectortype="straight" strokeweight=".72pt"/>
            <v:shape id="_x0000_s1076" type="#_x0000_t32" style="position:absolute;left:11544;top:1248;width:0;height:10296;mso-position-horizontal-relative:page;mso-position-vertical-relative:page" o:connectortype="straight" strokeweight="2.16pt"/>
            <v:shape id="_x0000_s1075" type="#_x0000_m1100" style="position:absolute;left:5088;top:1352;width:7152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74" type="#_x0000_m1100" style="position:absolute;left:4560;top:1684;width:7680;height:4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Special Notice</w:t>
                    </w:r>
                  </w:p>
                </w:txbxContent>
              </v:textbox>
            </v:shape>
            <v:shape id="_x0000_s1073" type="#_x0000_m1100" style="position:absolute;left:1584;top:3080;width:10656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00" style="position:absolute;left:3120;top:4208;width:9120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00" style="position:absolute;left:3072;top:6200;width:9168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0" type="#_x0000_m1100" style="position:absolute;left:2424;top:7712;width:9816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00" style="position:absolute;left:672;top:2340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8" type="#_x0000_m1100" style="position:absolute;left:2928;top:2240;width:9312;height:3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00" style="position:absolute;left:672;top:3108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6" type="#_x0000_m1100" style="position:absolute;left:672;top:4236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m1100" style="position:absolute;left:672;top:4428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4" type="#_x0000_m1100" style="position:absolute;left:672;top:4764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3" type="#_x0000_m1100" style="position:absolute;left:672;top:5244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2" type="#_x0000_m1100" style="position:absolute;left:4608;top:5244;width:7632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1" type="#_x0000_m1100" style="position:absolute;left:672;top:5724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0" type="#_x0000_m1100" style="position:absolute;left:672;top:6300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59" type="#_x0000_m1100" style="position:absolute;left:672;top:6828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8" type="#_x0000_m1100" style="position:absolute;left:672;top:7020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7" type="#_x0000_m1100" style="position:absolute;left:672;top:8316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6" type="#_x0000_m1100" style="position:absolute;left:672;top:8788;width:11568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5" type="#_x0000_m1100" style="position:absolute;left:672;top:8980;width:11568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4" type="#_x0000_m1100" style="position:absolute;left:672;top:7764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3" type="#_x0000_m1100" style="position:absolute;left:3888;top:7764;width:8352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2" type="#_x0000_m1100" style="position:absolute;left:672;top:9756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1" type="#_x0000_m1100" style="position:absolute;left:672;top:10236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0" type="#_x0000_m1100" style="position:absolute;left:672;top:10620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49" type="#_x0000_m1100" style="position:absolute;left:672;top:10812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8" type="#_x0000_m1100" style="position:absolute;left:672;top:11196;width:11568;height:21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7" type="#_x0000_m1100" style="position:absolute;left:4128;top:3860;width:8112;height:25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6" type="#_x0000_m1100" style="position:absolute;left:4224;top:9332;width:8016;height:25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5" type="#_x0000_m1100" style="position:absolute;left:624;top:11588;width:11616;height:25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4" type="#_x0000_m1100" style="position:absolute;left:9408;top:11668;width:283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Special Notice</w:t>
                    </w:r>
                  </w:p>
                </w:txbxContent>
              </v:textbox>
            </v:shape>
            <v:shape id="_x0000_s1043" type="#_x0000_m1100" style="position:absolute;left:9408;top:11860;width:283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2" type="#_x0000_m1100" style="position:absolute;left:3888;top:235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41" type="#_x0000_m1100" style="position:absolute;left:3888;top:2788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 - Office of Acquisition and</w:t>
                    </w:r>
                  </w:p>
                </w:txbxContent>
              </v:textbox>
            </v:shape>
            <v:shape id="_x0000_s1040" type="#_x0000_m1100" style="position:absolute;left:3888;top:2980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Logistics Second Supplier Relationship Management</w:t>
                    </w:r>
                  </w:p>
                </w:txbxContent>
              </v:textbox>
            </v:shape>
            <v:shape id="_x0000_s1039" type="#_x0000_m1100" style="position:absolute;left:3888;top:3172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Quarterly Webinar</w:t>
                    </w:r>
                  </w:p>
                </w:txbxContent>
              </v:textbox>
            </v:shape>
            <v:shape id="_x0000_s1038" type="#_x0000_m1100" style="position:absolute;left:3888;top:427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80401</w:t>
                    </w:r>
                  </w:p>
                </w:txbxContent>
              </v:textbox>
            </v:shape>
            <v:shape id="_x0000_s1037" type="#_x0000_m1100" style="position:absolute;left:3888;top:475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VA791-13-I-0046</w:t>
                    </w:r>
                  </w:p>
                </w:txbxContent>
              </v:textbox>
            </v:shape>
            <v:shape id="_x0000_s1036" type="#_x0000_m1100" style="position:absolute;left:3888;top:523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5" type="#_x0000_m1100" style="position:absolute;left:3888;top:571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4" type="#_x0000_m1100" style="position:absolute;left:3888;top:6292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611430</w:t>
                    </w:r>
                  </w:p>
                </w:txbxContent>
              </v:textbox>
            </v:shape>
            <v:shape id="_x0000_s1033" type="#_x0000_m1100" style="position:absolute;left:3888;top:6700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2" type="#_x0000_m1100" style="position:absolute;left:3888;top:6892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Denver Acquisition &amp; Logistics Center</w:t>
                    </w:r>
                  </w:p>
                </w:txbxContent>
              </v:textbox>
            </v:shape>
            <v:shape id="_x0000_s1031" type="#_x0000_m1100" style="position:absolute;left:3888;top:7276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555 Corporate Circle</w:t>
                    </w:r>
                  </w:p>
                </w:txbxContent>
              </v:textbox>
            </v:shape>
            <v:shape id="_x0000_s1030" type="#_x0000_m1100" style="position:absolute;left:3888;top:7468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Golden CO  80401</w:t>
                    </w:r>
                  </w:p>
                </w:txbxContent>
              </v:textbox>
            </v:shape>
            <v:shape id="_x0000_s1029" type="#_x0000_m1100" style="position:absolute;left:3888;top:8308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Mr. Jesse Beaman</w:t>
                    </w:r>
                  </w:p>
                </w:txbxContent>
              </v:textbox>
            </v:shape>
            <v:shape id="_x0000_s1028" type="#_x0000_m1100" style="position:absolute;left:3888;top:8500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Jesse.Beaman@va.gov</w:t>
                    </w:r>
                  </w:p>
                </w:txbxContent>
              </v:textbox>
            </v:shape>
            <v:shape id="_x0000_s1027" type="#_x0000_m1100" style="position:absolute;left:3888;top:8692;width:8352;height:172;mso-position-horizontal-relative:page;mso-position-vertical-relative:page" filled="f" stroked="f">
              <v:textbox inset="0,0,0,0">
                <w:txbxContent>
                  <w:p w:rsidR="00AB5DB4" w:rsidRDefault="000B2A59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202-429-2049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3634" w:rsidRDefault="000B2A59" w:rsidP="005A3634">
      <w:pPr>
        <w:pageBreakBefore/>
        <w:jc w:val="center"/>
        <w:rPr>
          <w:b/>
        </w:rPr>
      </w:pPr>
      <w:r>
        <w:rPr>
          <w:b/>
        </w:rPr>
        <w:lastRenderedPageBreak/>
        <w:t>Department of Veterans Affairs – Office of Acquisitions and Logistics</w:t>
      </w:r>
    </w:p>
    <w:p w:rsidR="005A3634" w:rsidRDefault="000B2A59" w:rsidP="005A3634">
      <w:pPr>
        <w:jc w:val="center"/>
        <w:rPr>
          <w:b/>
        </w:rPr>
      </w:pPr>
      <w:r>
        <w:rPr>
          <w:b/>
        </w:rPr>
        <w:t>Supplier Relationship Management – Quarterly Webinar</w:t>
      </w:r>
    </w:p>
    <w:p w:rsidR="005A3634" w:rsidRDefault="000B2A59" w:rsidP="005A3634">
      <w:pPr>
        <w:jc w:val="center"/>
        <w:rPr>
          <w:b/>
        </w:rPr>
      </w:pPr>
    </w:p>
    <w:p w:rsidR="005A3634" w:rsidRDefault="000B2A59" w:rsidP="005A3634">
      <w:pPr>
        <w:jc w:val="center"/>
      </w:pPr>
      <w:r>
        <w:t xml:space="preserve">This is not a solicitation.  Requests for a solicitation will not receive a response.  This notice does not constitute a commitment </w:t>
      </w:r>
      <w:r>
        <w:t>by the United States Government.</w:t>
      </w:r>
    </w:p>
    <w:p w:rsidR="005A3634" w:rsidRDefault="000B2A59" w:rsidP="005A3634">
      <w:pPr>
        <w:rPr>
          <w:b/>
        </w:rPr>
      </w:pPr>
    </w:p>
    <w:p w:rsidR="005A3634" w:rsidRDefault="000B2A59" w:rsidP="005A3634">
      <w:r>
        <w:rPr>
          <w:b/>
        </w:rPr>
        <w:t xml:space="preserve">Date: </w:t>
      </w:r>
      <w:r>
        <w:rPr>
          <w:color w:val="000000"/>
        </w:rPr>
        <w:t>Wednesday, May 1, 2013</w:t>
      </w:r>
    </w:p>
    <w:p w:rsidR="005A3634" w:rsidRDefault="000B2A59" w:rsidP="005A3634">
      <w:r>
        <w:rPr>
          <w:b/>
        </w:rPr>
        <w:t xml:space="preserve">Time: </w:t>
      </w:r>
      <w:r>
        <w:t>2:30 PM – 3:45 PM (Eastern Standard Time)</w:t>
      </w:r>
    </w:p>
    <w:p w:rsidR="005A3634" w:rsidRDefault="000B2A59" w:rsidP="005A3634">
      <w:r>
        <w:rPr>
          <w:b/>
        </w:rPr>
        <w:t xml:space="preserve">Location: </w:t>
      </w:r>
      <w:r>
        <w:t>Online webinar</w:t>
      </w:r>
    </w:p>
    <w:p w:rsidR="005A3634" w:rsidRDefault="000B2A59" w:rsidP="005A3634">
      <w:pPr>
        <w:rPr>
          <w:color w:val="1F497D"/>
        </w:rPr>
      </w:pPr>
      <w:r>
        <w:rPr>
          <w:b/>
        </w:rPr>
        <w:t xml:space="preserve">Registration: </w:t>
      </w:r>
      <w:hyperlink r:id="rId8" w:history="1">
        <w:r>
          <w:rPr>
            <w:rStyle w:val="Hyperlink"/>
          </w:rPr>
          <w:t>http://event.o</w:t>
        </w:r>
        <w:r>
          <w:rPr>
            <w:rStyle w:val="Hyperlink"/>
          </w:rPr>
          <w:t>n24.com/r.htm?e=608273&amp;s=1&amp;k=9FEDBF7339D471A77D841F221BC54E88</w:t>
        </w:r>
      </w:hyperlink>
    </w:p>
    <w:p w:rsidR="005A3634" w:rsidRDefault="000B2A59" w:rsidP="005A3634">
      <w:r>
        <w:rPr>
          <w:b/>
        </w:rPr>
        <w:t xml:space="preserve">Point of Contact: </w:t>
      </w:r>
      <w:r>
        <w:t xml:space="preserve">Jesse Beaman: </w:t>
      </w:r>
      <w:hyperlink r:id="rId9" w:history="1">
        <w:r>
          <w:rPr>
            <w:rStyle w:val="Hyperlink"/>
          </w:rPr>
          <w:t>Jesse.Beaman@va.gov</w:t>
        </w:r>
      </w:hyperlink>
      <w:r>
        <w:t xml:space="preserve"> </w:t>
      </w:r>
    </w:p>
    <w:p w:rsidR="005A3634" w:rsidRDefault="000B2A59" w:rsidP="005A3634">
      <w:pPr>
        <w:rPr>
          <w:rStyle w:val="street-address"/>
        </w:rPr>
      </w:pPr>
      <w:r>
        <w:rPr>
          <w:b/>
        </w:rPr>
        <w:t>Cost:</w:t>
      </w:r>
      <w:r>
        <w:rPr>
          <w:rStyle w:val="street-address"/>
        </w:rPr>
        <w:t xml:space="preserve"> No participant fees for webinar</w:t>
      </w:r>
    </w:p>
    <w:p w:rsidR="005A3634" w:rsidRDefault="000B2A59" w:rsidP="005A3634">
      <w:pPr>
        <w:rPr>
          <w:b/>
        </w:rPr>
      </w:pPr>
    </w:p>
    <w:p w:rsidR="005A3634" w:rsidRDefault="000B2A59" w:rsidP="005A3634">
      <w:pPr>
        <w:rPr>
          <w:b/>
        </w:rPr>
      </w:pPr>
      <w:r>
        <w:rPr>
          <w:b/>
        </w:rPr>
        <w:t>I. Background Information for the Event:</w:t>
      </w:r>
    </w:p>
    <w:p w:rsidR="005A3634" w:rsidRDefault="000B2A59" w:rsidP="005A3634"/>
    <w:p w:rsidR="005A3634" w:rsidRDefault="000B2A59" w:rsidP="005A3634">
      <w:pPr>
        <w:rPr>
          <w:rFonts w:ascii="Arial" w:hAnsi="Arial" w:cs="Arial"/>
          <w:b/>
        </w:rPr>
      </w:pPr>
      <w:r>
        <w:t>The Department of</w:t>
      </w:r>
      <w:r>
        <w:t xml:space="preserve"> Veterans Affairs (VA) is soliciting supplier participation in its Second Supplier Relationship Management Quarterly Webinar of 2013. The SRM initiative is part of VA’s broader effort to improve the end-to-end acquisition process which capitalizes on indus</w:t>
      </w:r>
      <w:r>
        <w:t xml:space="preserve">try expertise as an effort to strengthen the VA acquisition process as a whole. </w:t>
      </w:r>
    </w:p>
    <w:p w:rsidR="005A3634" w:rsidRDefault="000B2A59" w:rsidP="005A3634"/>
    <w:p w:rsidR="005A3634" w:rsidRDefault="000B2A59" w:rsidP="005A3634">
      <w:r>
        <w:t>During the Webinar, VA acquisition leadership will update supplier participants on the Department’s progress towards meeting its strategic goals, and will address subjects su</w:t>
      </w:r>
      <w:r>
        <w:t>ch as acquisition approaches, procurement policy, the VA supply chain, and Veterans and Small Business Programs.</w:t>
      </w:r>
    </w:p>
    <w:p w:rsidR="005A3634" w:rsidRDefault="000B2A59" w:rsidP="005A3634"/>
    <w:p w:rsidR="005A3634" w:rsidRDefault="000B2A59" w:rsidP="005A3634">
      <w:pPr>
        <w:rPr>
          <w:b/>
        </w:rPr>
      </w:pPr>
      <w:r>
        <w:rPr>
          <w:b/>
        </w:rPr>
        <w:t>II. Objectives of the Event:</w:t>
      </w:r>
    </w:p>
    <w:p w:rsidR="005A3634" w:rsidRDefault="000B2A59" w:rsidP="005A3634"/>
    <w:p w:rsidR="005A3634" w:rsidRDefault="000B2A59" w:rsidP="005A3634">
      <w:pPr>
        <w:pStyle w:val="ListParagraph"/>
        <w:numPr>
          <w:ilvl w:val="0"/>
          <w:numId w:val="1"/>
        </w:numPr>
      </w:pPr>
      <w:r>
        <w:t xml:space="preserve">Update suppliers on Supplier Relationship Management activities, including results from the second quarter (2Q) </w:t>
      </w:r>
      <w:r>
        <w:t xml:space="preserve">Fiscal Year (FY) 2013 Supplier Perception Survey and an update on VA Industry Advisory Group activities. </w:t>
      </w:r>
    </w:p>
    <w:p w:rsidR="005A3634" w:rsidRDefault="000B2A59" w:rsidP="005A3634">
      <w:pPr>
        <w:pStyle w:val="ListParagraph"/>
        <w:numPr>
          <w:ilvl w:val="0"/>
          <w:numId w:val="2"/>
        </w:numPr>
      </w:pPr>
      <w:r>
        <w:t>Provide Acquisition Policy updates (sole-source, others)</w:t>
      </w:r>
    </w:p>
    <w:p w:rsidR="005A3634" w:rsidRDefault="000B2A59" w:rsidP="005A3634">
      <w:pPr>
        <w:pStyle w:val="ListParagraph"/>
        <w:numPr>
          <w:ilvl w:val="0"/>
          <w:numId w:val="3"/>
        </w:numPr>
      </w:pPr>
      <w:r>
        <w:t>Clarify role of the Strategic Acquisition Center (SAC)</w:t>
      </w:r>
    </w:p>
    <w:p w:rsidR="005A3634" w:rsidRDefault="000B2A59" w:rsidP="005A3634">
      <w:pPr>
        <w:pStyle w:val="ListParagraph"/>
        <w:numPr>
          <w:ilvl w:val="0"/>
          <w:numId w:val="4"/>
        </w:numPr>
      </w:pPr>
      <w:r>
        <w:lastRenderedPageBreak/>
        <w:t xml:space="preserve">Provide updates on the Veterans Small </w:t>
      </w:r>
      <w:r>
        <w:t>Business conference and the Department of Veterans Affairs (VA) progress towards meeting FY 2013 socioeconomic contracting goals</w:t>
      </w:r>
    </w:p>
    <w:p w:rsidR="005A3634" w:rsidRDefault="000B2A59" w:rsidP="005A3634">
      <w:pPr>
        <w:pStyle w:val="ListParagraph"/>
        <w:spacing w:before="120"/>
        <w:rPr>
          <w:b/>
        </w:rPr>
      </w:pPr>
    </w:p>
    <w:p w:rsidR="005A3634" w:rsidRDefault="000B2A59" w:rsidP="005A3634">
      <w:pPr>
        <w:spacing w:after="60"/>
        <w:rPr>
          <w:b/>
        </w:rPr>
      </w:pPr>
      <w:r>
        <w:rPr>
          <w:b/>
        </w:rPr>
        <w:t>III. Agenda:</w:t>
      </w:r>
    </w:p>
    <w:p w:rsidR="005A3634" w:rsidRDefault="000B2A59" w:rsidP="005A3634">
      <w:pPr>
        <w:spacing w:after="60"/>
        <w:rPr>
          <w:b/>
        </w:rPr>
      </w:pPr>
    </w:p>
    <w:tbl>
      <w:tblPr>
        <w:tblW w:w="9360" w:type="dxa"/>
        <w:tblInd w:w="11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9"/>
        <w:gridCol w:w="4410"/>
        <w:gridCol w:w="3551"/>
      </w:tblGrid>
      <w:tr w:rsidR="005A3634" w:rsidTr="005A3634">
        <w:trPr>
          <w:cantSplit/>
          <w:tblHeader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7365D"/>
            <w:hideMark/>
          </w:tcPr>
          <w:p w:rsidR="005A3634" w:rsidRDefault="000B2A59">
            <w:pPr>
              <w:rPr>
                <w:rFonts w:eastAsia="Calibri"/>
                <w:b/>
                <w:color w:val="FFFFFF"/>
                <w:sz w:val="20"/>
              </w:rPr>
            </w:pPr>
            <w:r>
              <w:rPr>
                <w:rFonts w:eastAsia="Calibri"/>
                <w:b/>
                <w:color w:val="FFFFFF"/>
                <w:sz w:val="20"/>
              </w:rPr>
              <w:t>Time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7365D"/>
            <w:hideMark/>
          </w:tcPr>
          <w:p w:rsidR="005A3634" w:rsidRDefault="000B2A59">
            <w:pPr>
              <w:rPr>
                <w:rFonts w:eastAsia="Calibri"/>
                <w:b/>
                <w:color w:val="FFFFFF"/>
                <w:sz w:val="20"/>
              </w:rPr>
            </w:pPr>
            <w:r>
              <w:rPr>
                <w:rFonts w:eastAsia="Calibri"/>
                <w:b/>
                <w:color w:val="FFFFFF"/>
                <w:sz w:val="20"/>
              </w:rPr>
              <w:t>Topic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7365D"/>
            <w:hideMark/>
          </w:tcPr>
          <w:p w:rsidR="005A3634" w:rsidRDefault="000B2A59">
            <w:pPr>
              <w:rPr>
                <w:rFonts w:eastAsia="Calibri"/>
                <w:b/>
                <w:color w:val="FFFFFF"/>
                <w:sz w:val="20"/>
              </w:rPr>
            </w:pPr>
            <w:r>
              <w:rPr>
                <w:rFonts w:eastAsia="Calibri"/>
                <w:b/>
                <w:color w:val="FFFFFF"/>
                <w:sz w:val="20"/>
              </w:rPr>
              <w:t>Speaker</w:t>
            </w: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2:30-2:35 PM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Opening Remarks: Current state of Supplier Relationship Management Initiatives</w:t>
            </w:r>
          </w:p>
          <w:p w:rsidR="005A3634" w:rsidRDefault="000B2A59" w:rsidP="001A129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Results from 2Q FY 2012 VA Supplier Perception Survey</w:t>
            </w:r>
          </w:p>
          <w:p w:rsidR="005A3634" w:rsidRDefault="000B2A59" w:rsidP="001A129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Update on VA Industry Advisory Group activities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Mr. Jan R. Frye</w:t>
            </w:r>
          </w:p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Deputy Assistant Secretary, Office of Acquisition and Logistics</w:t>
            </w:r>
          </w:p>
          <w:p w:rsidR="005A3634" w:rsidRDefault="000B2A59">
            <w:pPr>
              <w:jc w:val="center"/>
              <w:rPr>
                <w:rFonts w:eastAsia="Calibri"/>
                <w:sz w:val="20"/>
              </w:rPr>
            </w:pPr>
          </w:p>
          <w:p w:rsidR="005A3634" w:rsidRDefault="000B2A5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Thomas A. Burgess, Associate Deputy Assistant Secretary, Office of Lo</w:t>
            </w:r>
            <w:r>
              <w:rPr>
                <w:sz w:val="20"/>
                <w:szCs w:val="20"/>
              </w:rPr>
              <w:t>gistics and Supply Chain Management</w:t>
            </w:r>
          </w:p>
          <w:p w:rsidR="005A3634" w:rsidRDefault="000B2A59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2:35-2:50 PM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Acquisition Policy Update</w:t>
            </w:r>
          </w:p>
          <w:p w:rsidR="005A3634" w:rsidRDefault="000B2A59" w:rsidP="001A1296">
            <w:pPr>
              <w:numPr>
                <w:ilvl w:val="0"/>
                <w:numId w:val="7"/>
              </w:numPr>
              <w:ind w:left="468"/>
              <w:rPr>
                <w:b/>
                <w:sz w:val="20"/>
              </w:rPr>
            </w:pPr>
            <w:r>
              <w:rPr>
                <w:sz w:val="20"/>
              </w:rPr>
              <w:t>Sole-source Contracting under Title 38</w:t>
            </w:r>
          </w:p>
          <w:p w:rsidR="005A3634" w:rsidRDefault="000B2A59" w:rsidP="001A1296">
            <w:pPr>
              <w:numPr>
                <w:ilvl w:val="0"/>
                <w:numId w:val="8"/>
              </w:numPr>
              <w:ind w:left="468"/>
              <w:rPr>
                <w:sz w:val="20"/>
              </w:rPr>
            </w:pPr>
            <w:r>
              <w:rPr>
                <w:sz w:val="20"/>
              </w:rPr>
              <w:t>Terminating Contracts with Ineligible Firms</w:t>
            </w:r>
          </w:p>
          <w:p w:rsidR="005A3634" w:rsidRDefault="000B2A59" w:rsidP="001A1296">
            <w:pPr>
              <w:numPr>
                <w:ilvl w:val="0"/>
                <w:numId w:val="9"/>
              </w:numPr>
              <w:ind w:left="468"/>
              <w:rPr>
                <w:b/>
                <w:sz w:val="20"/>
              </w:rPr>
            </w:pPr>
            <w:r>
              <w:rPr>
                <w:sz w:val="20"/>
              </w:rPr>
              <w:t>Others?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 xml:space="preserve">Mr. C. Ford Heard, Associate Deputy Assistant Secretary, Office of Procurement Policy, </w:t>
            </w:r>
            <w:r>
              <w:rPr>
                <w:sz w:val="20"/>
              </w:rPr>
              <w:t>Systems and Oversight</w:t>
            </w: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2:50-3:00 PM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3634" w:rsidRDefault="000B2A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Role of the Strategic Acquisition Center</w:t>
            </w:r>
          </w:p>
          <w:p w:rsidR="005A3634" w:rsidRDefault="000B2A59">
            <w:pPr>
              <w:pStyle w:val="ListParagraph"/>
              <w:rPr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EG Primus, Deputy Associate Executive Director, Office of Acquisition Operations</w:t>
            </w: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3:00-3:10 PM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Small and Veteran Business Program Update</w:t>
            </w:r>
          </w:p>
          <w:p w:rsidR="005A3634" w:rsidRDefault="000B2A59" w:rsidP="001A1296">
            <w:pPr>
              <w:numPr>
                <w:ilvl w:val="0"/>
                <w:numId w:val="10"/>
              </w:numPr>
              <w:ind w:left="468"/>
              <w:rPr>
                <w:b/>
                <w:sz w:val="20"/>
              </w:rPr>
            </w:pPr>
            <w:r>
              <w:rPr>
                <w:sz w:val="20"/>
              </w:rPr>
              <w:t>Small and Veteran Business Conference</w:t>
            </w:r>
            <w:r>
              <w:rPr>
                <w:sz w:val="20"/>
              </w:rPr>
              <w:t xml:space="preserve"> update</w:t>
            </w:r>
          </w:p>
          <w:p w:rsidR="005A3634" w:rsidRDefault="000B2A59" w:rsidP="001A1296">
            <w:pPr>
              <w:numPr>
                <w:ilvl w:val="0"/>
                <w:numId w:val="11"/>
              </w:numPr>
              <w:ind w:left="468"/>
              <w:rPr>
                <w:sz w:val="20"/>
              </w:rPr>
            </w:pPr>
            <w:r>
              <w:rPr>
                <w:sz w:val="20"/>
              </w:rPr>
              <w:t>FY 2013 progress on meeting small business and socioeconomic contracting thresholds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Tom Leney, Executive Director, Small and Veteran Business Programs</w:t>
            </w: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3:10-3:40 PM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Question and Answer Session 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Thomas A. Burgess</w:t>
            </w: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Jan R. Frye</w:t>
            </w: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 xml:space="preserve">Mr. C. </w:t>
            </w:r>
            <w:r>
              <w:rPr>
                <w:sz w:val="20"/>
              </w:rPr>
              <w:t>Ford Heard</w:t>
            </w: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Tom Leney</w:t>
            </w: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  <w:r>
              <w:rPr>
                <w:sz w:val="20"/>
              </w:rPr>
              <w:t>Mr. EG Primus</w:t>
            </w: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</w:p>
          <w:p w:rsidR="005A3634" w:rsidRDefault="000B2A59">
            <w:pPr>
              <w:rPr>
                <w:sz w:val="20"/>
              </w:rPr>
            </w:pPr>
          </w:p>
        </w:tc>
      </w:tr>
      <w:tr w:rsidR="005A3634" w:rsidTr="005A3634">
        <w:trPr>
          <w:cantSplit/>
        </w:trPr>
        <w:tc>
          <w:tcPr>
            <w:tcW w:w="1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3:40-3:45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A3634" w:rsidRDefault="000B2A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Closing Remarks</w:t>
            </w:r>
          </w:p>
        </w:tc>
        <w:tc>
          <w:tcPr>
            <w:tcW w:w="3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Mr. Jan R. Frye</w:t>
            </w:r>
          </w:p>
          <w:p w:rsidR="005A3634" w:rsidRDefault="000B2A5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Deputy Assistant Secretary, Office of Acquisition and Logistics</w:t>
            </w:r>
          </w:p>
          <w:p w:rsidR="005A3634" w:rsidRDefault="000B2A59">
            <w:pPr>
              <w:rPr>
                <w:sz w:val="20"/>
              </w:rPr>
            </w:pPr>
          </w:p>
        </w:tc>
      </w:tr>
    </w:tbl>
    <w:p w:rsidR="005A3634" w:rsidRDefault="000B2A59" w:rsidP="005A3634">
      <w:pPr>
        <w:rPr>
          <w:b/>
        </w:rPr>
      </w:pPr>
    </w:p>
    <w:p w:rsidR="005A3634" w:rsidRDefault="000B2A59" w:rsidP="005A3634">
      <w:pPr>
        <w:rPr>
          <w:b/>
        </w:rPr>
      </w:pPr>
    </w:p>
    <w:p w:rsidR="005A3634" w:rsidRDefault="000B2A59" w:rsidP="005A3634">
      <w:pPr>
        <w:keepNext/>
        <w:keepLines/>
        <w:rPr>
          <w:b/>
        </w:rPr>
      </w:pPr>
      <w:r>
        <w:rPr>
          <w:b/>
        </w:rPr>
        <w:t>VI. How to Register:</w:t>
      </w:r>
    </w:p>
    <w:p w:rsidR="005A3634" w:rsidRDefault="000B2A59" w:rsidP="005A3634">
      <w:pPr>
        <w:rPr>
          <w:b/>
        </w:rPr>
      </w:pPr>
    </w:p>
    <w:p w:rsidR="005A3634" w:rsidRDefault="000B2A59" w:rsidP="005A3634">
      <w:pPr>
        <w:rPr>
          <w:color w:val="1F497D"/>
        </w:rPr>
      </w:pPr>
      <w:r>
        <w:t xml:space="preserve">To register for the Webinar, please go to: </w:t>
      </w:r>
      <w:hyperlink r:id="rId10" w:history="1">
        <w:r>
          <w:rPr>
            <w:rStyle w:val="Hyperlink"/>
          </w:rPr>
          <w:t>http://event.on24.com/r.htm?e=608273&amp;s=1&amp;k=9FEDBF7339D471A77D841F221BC54E88</w:t>
        </w:r>
      </w:hyperlink>
    </w:p>
    <w:p w:rsidR="005A3634" w:rsidRDefault="000B2A59" w:rsidP="005A3634">
      <w:pPr>
        <w:keepNext/>
      </w:pPr>
    </w:p>
    <w:p w:rsidR="005A3634" w:rsidRDefault="000B2A59" w:rsidP="005A3634">
      <w:pPr>
        <w:keepNext/>
      </w:pPr>
      <w:r>
        <w:t>The Webinar is free of charge. If you would like to register more than one person from yo</w:t>
      </w:r>
      <w:r>
        <w:t>ur company, please only register one name and view the web conference from a common location with those colleagues interested. Once registration is closed, all participants will receive the official invitation with link to the Webinar, which will go live o</w:t>
      </w:r>
      <w:r>
        <w:t>n May 1, 2013 at 2:30 PM EST.</w:t>
      </w:r>
    </w:p>
    <w:p w:rsidR="005A3634" w:rsidRDefault="000B2A59" w:rsidP="005A3634"/>
    <w:p w:rsidR="00AB55EF" w:rsidRDefault="000B2A59"/>
    <w:sectPr w:rsidR="00AB55EF">
      <w:footerReference w:type="default" r:id="rId11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2A59">
      <w:pPr>
        <w:spacing w:after="0" w:line="240" w:lineRule="auto"/>
      </w:pPr>
      <w:r>
        <w:separator/>
      </w:r>
    </w:p>
  </w:endnote>
  <w:endnote w:type="continuationSeparator" w:id="0">
    <w:p w:rsidR="00000000" w:rsidRDefault="000B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4" w:rsidRDefault="000B2A5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2A59">
      <w:pPr>
        <w:spacing w:after="0" w:line="240" w:lineRule="auto"/>
      </w:pPr>
      <w:r>
        <w:separator/>
      </w:r>
    </w:p>
  </w:footnote>
  <w:footnote w:type="continuationSeparator" w:id="0">
    <w:p w:rsidR="00000000" w:rsidRDefault="000B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F8A"/>
    <w:multiLevelType w:val="hybridMultilevel"/>
    <w:tmpl w:val="9AD0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D4F"/>
    <w:multiLevelType w:val="hybridMultilevel"/>
    <w:tmpl w:val="6DEA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41E1"/>
    <w:multiLevelType w:val="hybridMultilevel"/>
    <w:tmpl w:val="4EB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077F"/>
    <w:multiLevelType w:val="hybridMultilevel"/>
    <w:tmpl w:val="979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B2A59"/>
    <w:rsid w:val="00497B33"/>
    <w:rsid w:val="007F6E67"/>
    <w:rsid w:val="00940089"/>
    <w:rsid w:val="00990007"/>
    <w:rsid w:val="00A04B07"/>
    <w:rsid w:val="00A13EA5"/>
    <w:rsid w:val="00A1720F"/>
    <w:rsid w:val="00AA3EBA"/>
    <w:rsid w:val="00AB5DB4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99"/>
        <o:r id="V:Rule2" type="connector" idref="#_x0000_s1098"/>
        <o:r id="V:Rule3" type="connector" idref="#_x0000_s1097"/>
        <o:r id="V:Rule4" type="connector" idref="#_x0000_s1096"/>
        <o:r id="V:Rule5" type="connector" idref="#_x0000_s1095"/>
        <o:r id="V:Rule6" type="connector" idref="#_x0000_s1094"/>
        <o:r id="V:Rule7" type="connector" idref="#_x0000_s1093"/>
        <o:r id="V:Rule8" type="connector" idref="#_x0000_s1092"/>
        <o:r id="V:Rule9" type="connector" idref="#_x0000_s1091"/>
        <o:r id="V:Rule10" type="connector" idref="#_x0000_s1090"/>
        <o:r id="V:Rule11" type="connector" idref="#_x0000_s1089"/>
        <o:r id="V:Rule12" type="connector" idref="#_x0000_s1088"/>
        <o:r id="V:Rule13" type="connector" idref="#_x0000_s1087"/>
        <o:r id="V:Rule14" type="connector" idref="#_x0000_s1086"/>
        <o:r id="V:Rule15" type="connector" idref="#_x0000_s1085"/>
        <o:r id="V:Rule16" type="connector" idref="#_x0000_s1084"/>
        <o:r id="V:Rule17" type="connector" idref="#_x0000_s1083"/>
        <o:r id="V:Rule18" type="connector" idref="#_x0000_s1082"/>
        <o:r id="V:Rule19" type="connector" idref="#_x0000_s1081"/>
        <o:r id="V:Rule20" type="connector" idref="#_x0000_s1080"/>
        <o:r id="V:Rule21" type="connector" idref="#_x0000_s1079"/>
        <o:r id="V:Rule22" type="connector" idref="#_x0000_s1078"/>
        <o:r id="V:Rule23" type="connector" idref="#_x0000_s1077"/>
        <o:r id="V:Rule24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uiPriority w:val="99"/>
    <w:semiHidden/>
    <w:unhideWhenUsed/>
    <w:rsid w:val="005A3634"/>
    <w:rPr>
      <w:rFonts w:ascii="Times New Roman" w:hAnsi="Times New Roman" w:cs="Times New Roman" w:hint="default"/>
      <w:color w:val="0000FF"/>
      <w:u w:val="single"/>
    </w:rPr>
  </w:style>
  <w:style w:type="character" w:customStyle="1" w:styleId="street-address">
    <w:name w:val="street-address"/>
    <w:uiPriority w:val="99"/>
    <w:rsid w:val="005A36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on24.com/r.htm?e=608273&amp;s=1&amp;k=9FEDBF7339D471A77D841F221BC54E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vent.on24.com/r.htm?e=608273&amp;s=1&amp;k=9FEDBF7339D471A77D841F221BC54E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e.Beama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8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Sheppard, Kip Andrew</cp:lastModifiedBy>
  <cp:revision>2</cp:revision>
  <dcterms:created xsi:type="dcterms:W3CDTF">2013-04-11T20:16:00Z</dcterms:created>
  <dcterms:modified xsi:type="dcterms:W3CDTF">2013-04-11T20:16:00Z</dcterms:modified>
</cp:coreProperties>
</file>